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Courier New"/>
          <w:sz w:val="28"/>
          <w:szCs w:val="28"/>
        </w:rPr>
      </w:pPr>
      <w:r>
        <w:rPr>
          <w:rFonts w:hint="eastAsia" w:ascii="宋体" w:hAnsi="宋体"/>
          <w:b/>
          <w:sz w:val="28"/>
        </w:rPr>
        <w:t>附件二：</w:t>
      </w:r>
      <w:r>
        <w:rPr>
          <w:rFonts w:hint="eastAsia" w:ascii="宋体" w:hAnsi="宋体"/>
          <w:sz w:val="28"/>
          <w:szCs w:val="28"/>
        </w:rPr>
        <w:t>项目回函</w:t>
      </w:r>
    </w:p>
    <w:p>
      <w:pPr>
        <w:pStyle w:val="21"/>
        <w:spacing w:after="78"/>
        <w:ind w:left="0" w:leftChars="0" w:firstLineChars="0"/>
        <w:rPr>
          <w:sz w:val="32"/>
          <w:szCs w:val="32"/>
        </w:rPr>
      </w:pPr>
      <w:r>
        <w:rPr>
          <w:rFonts w:hint="eastAsia" w:ascii="宋体" w:hAnsi="宋体"/>
          <w:sz w:val="32"/>
          <w:szCs w:val="32"/>
        </w:rPr>
        <w:t>我司承诺提供的服务等于或优于需求清单列表中的内容。</w:t>
      </w:r>
    </w:p>
    <w:tbl>
      <w:tblPr>
        <w:tblStyle w:val="22"/>
        <w:tblW w:w="8528" w:type="dxa"/>
        <w:tblInd w:w="-5" w:type="dxa"/>
        <w:tblLayout w:type="fixed"/>
        <w:tblCellMar>
          <w:top w:w="0" w:type="dxa"/>
          <w:left w:w="108" w:type="dxa"/>
          <w:bottom w:w="0" w:type="dxa"/>
          <w:right w:w="108" w:type="dxa"/>
        </w:tblCellMar>
      </w:tblPr>
      <w:tblGrid>
        <w:gridCol w:w="492"/>
        <w:gridCol w:w="1023"/>
        <w:gridCol w:w="839"/>
        <w:gridCol w:w="4081"/>
        <w:gridCol w:w="431"/>
        <w:gridCol w:w="846"/>
        <w:gridCol w:w="408"/>
        <w:gridCol w:w="408"/>
      </w:tblGrid>
      <w:tr>
        <w:tblPrEx>
          <w:tblCellMar>
            <w:top w:w="0" w:type="dxa"/>
            <w:left w:w="108" w:type="dxa"/>
            <w:bottom w:w="0" w:type="dxa"/>
            <w:right w:w="108" w:type="dxa"/>
          </w:tblCellMar>
        </w:tblPrEx>
        <w:trPr>
          <w:trHeight w:val="23" w:hRule="atLeast"/>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0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设备名称</w:t>
            </w:r>
          </w:p>
        </w:tc>
        <w:tc>
          <w:tcPr>
            <w:tcW w:w="8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品牌</w:t>
            </w:r>
          </w:p>
        </w:tc>
        <w:tc>
          <w:tcPr>
            <w:tcW w:w="40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型号/参数</w:t>
            </w:r>
          </w:p>
        </w:tc>
        <w:tc>
          <w:tcPr>
            <w:tcW w:w="4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计量单位</w:t>
            </w:r>
          </w:p>
        </w:tc>
        <w:tc>
          <w:tcPr>
            <w:tcW w:w="8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数量</w:t>
            </w:r>
          </w:p>
        </w:tc>
        <w:tc>
          <w:tcPr>
            <w:tcW w:w="4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单价</w:t>
            </w:r>
          </w:p>
        </w:tc>
        <w:tc>
          <w:tcPr>
            <w:tcW w:w="4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总价</w:t>
            </w:r>
          </w:p>
        </w:tc>
      </w:tr>
      <w:tr>
        <w:tblPrEx>
          <w:tblCellMar>
            <w:top w:w="0" w:type="dxa"/>
            <w:left w:w="108" w:type="dxa"/>
            <w:bottom w:w="0" w:type="dxa"/>
            <w:right w:w="108" w:type="dxa"/>
          </w:tblCellMar>
        </w:tblPrEx>
        <w:trPr>
          <w:trHeight w:val="782" w:hRule="atLeast"/>
        </w:trPr>
        <w:tc>
          <w:tcPr>
            <w:tcW w:w="85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泵站1</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PLC控制柜</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康斯达</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PS自控机柜，2000*800*600</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微型断路器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IC65N D32/D16</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接口模块</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BMX XBP 1200</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电源模块</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BMX CPS2000</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16DI开关量输入</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BMX DDI 1602</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16DI开关量输出</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BMX DDO 1602</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8AI模拟量输入</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BMX AMI 0800</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4AO模拟量输出</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BMX AMO 0410</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通讯模块</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BMX NOM 0200</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插槽附件</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BMX FTB 2010</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触摸屏</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威纶通</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威纶MT8102IE</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开关电源1</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明纬</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EDR-240-24</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开关电源2</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明纬</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EDR-120-12</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中继</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RXM2L2BD+底座，24VDC</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电源防雷</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雷迅</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AM-20+NPE</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信号防雷</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雷迅</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ASP/SR-E24V/2S</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17</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电柜辅材</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国优</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端子、线槽、导轨、BV线，散热风扇，装配等</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18</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端子</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瑞奇</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3N、6N</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19</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散热风扇</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优质</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220VAC，含百叶、温控器</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柜内专用线缆 BV 1.0（含辅件等）</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珠江</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BV 1.0</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21</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行程开关</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正泰</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LXJM18112</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组</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柜内照明</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优质</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PLT5-3005</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23</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电柜辅材</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优质</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线缆导轨、线槽、线针</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24</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电气柜装配</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定制</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自控程序编写</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定制</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自控程序编写</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26</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UPS</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山特</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C3K+1小时蓄电池</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27</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温度巡检仪</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虹润</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ACS510-01-125A-4</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28</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渗漏探测器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科蓝</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渗漏过热双探测继电器LG-220V</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29</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翻斗式雨量计</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仁科</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4mm/min,RS485</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振动采集传感器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和达科技</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温振监测传感器VD63</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31</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振动采集终端</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和达科技</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智能温振网关SG65</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32</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雷达液位计</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E+H&amp;松野</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FMR 10 + DT109</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33</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网络柜</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康斯达</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PS网络机柜，2000*800*600</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34</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微型断路器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IC65N D32/D16</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35</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可编程控制器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西门子</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西门子smartST40</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36</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通讯模块（安防）</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西门子</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西门子CM01</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37</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模拟量输出模块</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西门子</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西门子AE04</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38</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开关电源1</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明纬</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EDR-240-24</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39</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开关电源2</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明纬</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EDR-120-12</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40</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中继</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RXM2L2BD+底座，24VDC</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41</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球式网络摄像头</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海康威视iDS-2DE7223ZY-A(B)</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42</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枪式摄像机</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海康威视DS-2CD2T2ZYWD-L</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43</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卡片机</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固定式海康热成像光谱</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44</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硬盘录像机</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海康威视DS-7716N-K4</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45</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硬盘</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希捷</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希捷ST4000NM00354TB</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46</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声光报警器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HC-103</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47</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报警主机</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海康威视DS-19A08-F/K1G</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48</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红外微波检测器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海康威视DS-1T21DN-B</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49</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磁力锁</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KT-L280带反馈KOB</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开门按钮</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K-86</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51</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人脸识别门禁</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海康威视DS-K1T60ZYM</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52</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烟感探测器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昆仑海岸</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JTY-GD-2412/S</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53</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水浸传感器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昆仑海岸</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JS-HP-2</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54</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温湿度传感器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昆仑海岸</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昆仑海岸JWST-20</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55</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噪音传感器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Gemho</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JH-JH-ZX</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56</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无线测温</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ACREL</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ATE400*3+ATC600</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57</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周界系统</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电子围栏墙系统</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58</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轴流风机</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国优</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300-2P管道220v</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59</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空调</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仁科</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2匹，配485控制器</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60</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端子</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瑞奇</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3N、6N</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120</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61</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散热风扇</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优质</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220VAC，含百叶、温控器</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62</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柜内专用线缆 BV 1.0（含辅件等）</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珠江</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BV 1.0</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63</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行程开关</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正泰</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LXJM18112</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组</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64</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柜内照明</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优质</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PLT5-3005</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65</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电柜辅材</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优质</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线缆导轨、线槽、线针</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66</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电气柜装配</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定制</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67</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安防边缘计算系统</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定制</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视频AI边缘计算系统</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68</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本地中控组态软件</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GE</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IFIX 运行版</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69</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本地工作站</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联想</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i5-12400 16G 512G win11</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70</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数据采集网关</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和达科技</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EBOX-SGLite</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71</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交换机</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TP-link</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TL-SG1024TP-LINK24口</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72</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中控组态开发与调试</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定制</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中控组态开发与调试</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73</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格栅控制柜</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康斯达</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PS控制柜，户外型1200*800*600</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74</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微型断路器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IC65N D32/D16</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75</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可编程控制器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西门子</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西门子smartSR40</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76</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通讯模块（格栅改造）</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西门子</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西门子CM01</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77</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数字量模块</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西门子</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西门子DT32</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78</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模拟量输出模块</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西门子</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西门子AM06</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79</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智能电力仪表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ACREL</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DTSD1352</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80</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电流互感器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ACREL</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AKH-0.66/K</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81</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塑壳断路器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CVS160F125A3P</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82</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微型断路器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IC65ND63A3P</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83</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指示灯</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XB2BVM*LC</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24</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84</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接触器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LC1D09M7C</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24</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85</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热继电器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LRE12N</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24</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86</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端子</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瑞奇</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3N、6N</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80</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87</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散热风扇</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优质</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220VAC，含百叶、温控器</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88</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柜内专用线缆 BV 1.0（含辅件等）</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珠江</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BV 1.0</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89</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电柜辅材</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优质</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线缆导轨、线槽、线针、卡扣</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90</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电气柜装配</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定制</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91</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自控程序编写</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定制</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自控程序编写</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92</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闸门控制柜</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康斯达</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PS控制柜，1600*800*600</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93</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微型断路器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IC65N D32/D16</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94</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按钮</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ZB2BE101C</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95</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接触器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LC1D09M7C</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96</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马达保护器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GV2-ME</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97</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微型断路器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IC65ND16A3P</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98</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旋转编码器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欧姆龙</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E6B2-CWZ6C</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99</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限位器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正泰</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YBLX-8108</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端子</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瑞奇</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3N、6N</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220</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101</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散热风扇</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优质</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220VAC，含百叶、温控器</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102</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柜内专用线缆 BV 1.0（含辅件等）</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珠江</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BV 1.0</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103</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柜内专用线缆 BV 2.0（含辅件等）</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珠江</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BV 2.0</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104</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行程开关</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正泰</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LXJM18112</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组</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105</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柜内照明</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优质</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PLT5-3005</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106</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电柜辅材</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优质</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线缆导轨、线槽、线针</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107</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电气柜装配</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定制</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108</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闸门控制箱</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国优</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PS控制箱，户外型500*600*250，含立柱</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109</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微型断路器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IC65N D32/D16</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110</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按钮</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ZB2BE101C</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111</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接触器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LC1D09M7C</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112</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马达保护器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GV2-ME</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113</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微型断路器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IC65ND16A3P</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114</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旋转编码器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欧姆龙</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E6B2-CWZ6C</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115</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限位器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正泰</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YBLX-8108</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116</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端子</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瑞奇</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3N、6N</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117</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电柜辅材</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优质</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线缆导轨、线槽、线针、柜内线缆BV1.0</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118</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电气柜装配</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定制</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119</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防火墙</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天融信</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NGFW4000</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120</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交换机</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华三</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华三交换机</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121</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光缆</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烽火</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12芯GYTA芯光缆</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1800</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122</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接头盒</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烽火</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烽火接头盒</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123</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布放尾纤</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国优</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光纤尾纤</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根</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124</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光纤终端盒</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烽火</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烽火12芯终端盒</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125</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收发器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烽火</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烽火千兆光纤收发器</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126</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SFP模块</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烽火</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烽火光模块</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127</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线缆保护管</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国优</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镀锌铁管DN20</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128</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水泥路面基层破坏及恢复</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定制</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开挖、穿管、回填、恢复</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m2</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129</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光纤测试</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定制</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OTDR</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130</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4G/5G路由器</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宏电</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H8922</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131</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移动卡</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联通</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物联网卡</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132</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路由勘察</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定制</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路由勘察、光纤敷设管道协调</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133</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控制电缆 KVV 8*1.0</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珠江</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KVV 8*1.0</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330</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134</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双绞线缆 KVVP 2芯</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珠江</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KVVP 2芯</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600</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135</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控制线缆 RVV 4*1.0</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珠江</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RVV 4*1.0</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600</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136</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声光报警器 LTE 无线遥控</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国优</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LTE 无线遥控</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137</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网线布线</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山泽</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CAT 5E</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138</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线缆保护管</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联塑</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DN20.单位：条</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120</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139</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设备安装调试</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定制</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设备安装调试</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8528" w:type="dxa"/>
            <w:gridSpan w:val="8"/>
            <w:tcBorders>
              <w:top w:val="single" w:color="auto" w:sz="4" w:space="0"/>
              <w:left w:val="single" w:color="auto" w:sz="4" w:space="0"/>
              <w:bottom w:val="single" w:color="auto" w:sz="4" w:space="0"/>
              <w:right w:val="nil"/>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泵站2</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140</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PLC控制柜</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康斯达</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PS自控机柜，2000*800*600</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141</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微型断路器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IC65N D32/D16</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142</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CPU模块</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西门子</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6ES7515-2RM00-0ABO</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143</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4M存储卡</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西门子</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6ES7954-8LC03-0AA0</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144</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接口模块</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西门子</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6ES7155-6AR00-0AN0</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145</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电源模块</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西门子</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6EP7133-6AE00-0BN0</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146</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16DI开关量输入</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西门子</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6ES7131-6BH01-0BA0</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147</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16DI开关量输出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西门子</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6ES7132-6BH01-0BA0</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148</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8AI模拟量输入</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西门子</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6ES7134-6GF00-0AA1</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149</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4AO模拟量输出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西门子</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6ES7135-6HD00-0BA1</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150</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通讯模块</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西门子</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6ES7137-6AA01-0BA0</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151</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插槽附件1</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西门子</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6ES7193-6BP00-0BA0</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152</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插槽附件2</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西门子</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6ES7193-6BP20-0DA0</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153</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触摸屏</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威纶通</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威纶MT8102IE</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154</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开关电源1</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明纬</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EDR-240-24</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155</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开关电源2</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明纬</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EDR-120-12</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156</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中继</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RXM2LB2BD+底座，24VDC</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64</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157</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电源防雷</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雷迅</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AM-20+NPE</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158</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信号防雷</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雷迅</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ASP/SR-E24V/2S</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24</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159</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交换机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MOXA</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EDS-208</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160</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端子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瑞奇</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3N、6N</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161</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散热风扇</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优质</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220VAC，含百叶、温控器</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162</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柜内专用线缆 BV 1.0（含辅件等）</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珠江</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BV 1.0</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163</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行程开关</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正泰</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LXJM18112</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组</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164</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柜内照明</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优质</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PLT5-3005</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165</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电柜辅材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优质</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线缆导轨、线槽、线针</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166</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电气柜装配</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定制</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167</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自控程序编写</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定制</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自控程序编写</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168</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智能电力仪表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ACREL</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DTSD1352</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169</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电流互感器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ACREL</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AKH-0.66/K</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170</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变频器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ABB</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ACS510-01-125A-4</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171</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指示灯</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XB2BVM*LC</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172</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按钮</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ZB2BE101C</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173</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选择开关</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XB2BD31C</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174</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中间继电器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RXM4AB2P7+底座，220VAC</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175</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UPS</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山特</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C3K+1小时蓄电池</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176</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雷达液位计</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E+H&amp;松野</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FMR 10 + DT109</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177</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温度巡检仪</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虹润</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NHR-5710A-55-0/1/D1/X-A</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178</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渗漏探测器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科蓝</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渗漏过热双探测继电器LG-220V</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179</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振动采集传感器</w:t>
            </w:r>
          </w:p>
        </w:tc>
        <w:tc>
          <w:tcPr>
            <w:tcW w:w="8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和达科技</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温振监测传感器VD63</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180</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振动采集终端</w:t>
            </w:r>
          </w:p>
        </w:tc>
        <w:tc>
          <w:tcPr>
            <w:tcW w:w="8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和达科技</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智能温振网关SG65</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181</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有害气体检测仪（一氧化碳）</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安帕尔</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一氧化碳</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182</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有害气体检测仪（甲烷）</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安帕尔</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甲烷</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183</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有害气体检测仪（硫化氢）</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安帕尔</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硫化氢</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184</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报警主机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安帕尔</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8路检测通道输入</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185</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网络柜</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康斯达</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PS网络机柜，2000*800*600</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186</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微型断路器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IC65N D32/D16</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187</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可编程控制器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西门子</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西门子smartST40</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188</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通讯模块（安防）</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西门子</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西门子CM01</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189</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模拟量输出模块</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西门子</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西门子AE04</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190</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开关电源1</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明纬</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EDR-240-24</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191</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开关电源2</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明纬</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EDR-120-12</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192</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中继</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RXM2L2BD+底座，24VDC</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193</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球式网络摄像头</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海康威视iDS-2DE7223ZY-A(B)</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194</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枪式摄像机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海康威视DS-2CD2T2ZYWD-L</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nil"/>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195</w:t>
            </w:r>
          </w:p>
        </w:tc>
        <w:tc>
          <w:tcPr>
            <w:tcW w:w="1023" w:type="dxa"/>
            <w:tcBorders>
              <w:top w:val="nil"/>
              <w:left w:val="nil"/>
              <w:bottom w:val="nil"/>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卡片机</w:t>
            </w:r>
          </w:p>
        </w:tc>
        <w:tc>
          <w:tcPr>
            <w:tcW w:w="839" w:type="dxa"/>
            <w:tcBorders>
              <w:top w:val="nil"/>
              <w:left w:val="nil"/>
              <w:bottom w:val="nil"/>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w:t>
            </w:r>
          </w:p>
        </w:tc>
        <w:tc>
          <w:tcPr>
            <w:tcW w:w="4081" w:type="dxa"/>
            <w:tcBorders>
              <w:top w:val="nil"/>
              <w:left w:val="nil"/>
              <w:bottom w:val="nil"/>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固定式海康热成像光谱</w:t>
            </w:r>
          </w:p>
        </w:tc>
        <w:tc>
          <w:tcPr>
            <w:tcW w:w="431" w:type="dxa"/>
            <w:tcBorders>
              <w:top w:val="nil"/>
              <w:left w:val="nil"/>
              <w:bottom w:val="nil"/>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nil"/>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408" w:type="dxa"/>
            <w:tcBorders>
              <w:top w:val="nil"/>
              <w:left w:val="nil"/>
              <w:bottom w:val="nil"/>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nil"/>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196</w:t>
            </w:r>
          </w:p>
        </w:tc>
        <w:tc>
          <w:tcPr>
            <w:tcW w:w="10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硬盘录像机</w:t>
            </w:r>
          </w:p>
        </w:tc>
        <w:tc>
          <w:tcPr>
            <w:tcW w:w="8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w:t>
            </w:r>
          </w:p>
        </w:tc>
        <w:tc>
          <w:tcPr>
            <w:tcW w:w="40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海康威视DS-7716N-K4</w:t>
            </w:r>
          </w:p>
        </w:tc>
        <w:tc>
          <w:tcPr>
            <w:tcW w:w="4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197</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硬盘</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希捷ST4000NM00354TB</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198</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声光报警器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HC-103</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199</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报警主机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海康威视DS-19A08-F/K1G</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红外微波检测器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海康威视DS-1T21DN-B</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201</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磁力锁</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KT-L280带反馈KOB</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202</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开门按钮</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K-86</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203</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人脸识别门禁</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海康威视DS-K1T60ZYM</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204</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烟感探测器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昆仑海岸</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JTY-GD-2412/S</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205</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水浸传感器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昆仑海岸</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JS-HP-2</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206</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温湿度传感器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昆仑海岸</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JWST-20</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207</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噪音传感器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Gemho</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JH-JH-ZX</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208</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周界系统</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海康威视</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电子围栏墙系统</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209</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轴流风机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国优</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300-2P管道220v</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210</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空调</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仁科</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2匹，配485控制器</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211</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端子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瑞奇</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3N、6N</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120</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212</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散热风扇</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优质</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220VAC，含百叶、温控器</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213</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柜内专用线缆 BV 1.0（含辅件等）</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珠江</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BV 1.0</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214</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行程开关</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正泰</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LXJM18112</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组</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215</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柜内照明</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优质</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PLT5-3005</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216</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电柜辅材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优质</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线缆导轨、线槽、线针</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217</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电气柜装配</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定制</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218</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安防边缘计算系统</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定制</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视频AI边缘计算系统</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219</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本地中控组态软件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GE</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IFIX 运行版</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220</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本地工作站</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联想</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i5-12400 16G 512G win11</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221</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数据采集网关</w:t>
            </w:r>
          </w:p>
        </w:tc>
        <w:tc>
          <w:tcPr>
            <w:tcW w:w="8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和达科技</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EBOX-SGLite</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222</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交换机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TP-link</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TL-SG1024TP-LINK24口</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223</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中控组态开发与调试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定制</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中控组态开发与调试</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224</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智能电力仪表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ACREL</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DTSD1352</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225</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电流互感器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ACREL</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AKH-0.66/K</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226</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阀门控制箱</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国优</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600*400*250+1000</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227</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指示灯</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XB2BVM*LC</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228</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按钮</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ZB2BE101C</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229</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接触器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LC1D09M7C</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230</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马达保护器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GV2-ME</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231</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微型断路器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IC65N D16A 3P</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232</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旋转编码器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欧姆龙</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E6B2-CWZ6C</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233</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限位器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正泰</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YBLX-8108</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234</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端子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瑞奇</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3N、6N</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235</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电柜辅材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优质</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线缆导轨、线槽、线针、柜内线缆BV1.0</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236</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电气柜装配</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定制</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237</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阀门控制箱</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国优</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600*400*250+1000</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238</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指示灯</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XB2BVM*LC</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239</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按钮</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ZB2BE101C</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240</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接触器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LC1D09M7C</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241</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马达保护器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GV2-ME</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242</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微型断路器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施耐德</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IC65ND16A3P</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243</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端子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瑞奇</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3N、6N</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244</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电柜辅材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优质</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线缆导轨、线槽、线针、柜内线缆BV1.0</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245</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电气柜装配</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定制</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246</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防火墙</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天融信</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NGFW4000</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247</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交换机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华三</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华三交换机</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248</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光缆</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烽火</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12芯GYTA芯光缆</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3900.00</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249</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接头盒</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烽火</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接头盒</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250</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布放尾纤</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烽火</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尾纤</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根</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251</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光纤终端盒</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烽火</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12芯终端盒</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252</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收发器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烽火</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千兆光纤收发器</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253</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SFP模块</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烽火</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SFP模块</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254</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线缆保护管</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国优</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镀锌铁管DN20</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255</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水泥路面基层破坏及恢复</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定制</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开挖、穿管、回填、恢复</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m2</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256</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光纤测试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定制</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OTDR</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257</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4G/5G路由器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宏电</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H8922</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258</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移动卡</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联通</w:t>
            </w:r>
          </w:p>
        </w:tc>
        <w:tc>
          <w:tcPr>
            <w:tcW w:w="40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物联网卡</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259</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路由勘察</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定制</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路由勘察、光纤敷设管道协调</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260</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控制电缆 KVV 8*1.0</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珠江</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KVV 8*1.0</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600.00</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261</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双绞线缆 KVVP 4芯</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珠江</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KVVP 4芯</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500.00</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262</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双绞线缆 KVVP 2芯</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珠江</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KVVP 2芯</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500.00</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263</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动力电缆 YJV 3*2.5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珠江</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YJV 3芯</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150.00</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264</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声光报警器 LTE 无线遥控</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国优</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LTE 无线遥控</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265</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网线布线</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山泽</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CAT 5E</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266</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线缆保护管</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联塑</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DN20.单位：条</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120.00</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267</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设备安装调试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定制</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仪表安防设备安装调试、电气设备等安装接入与调试</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1"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268</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电磁流量计</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科隆</w:t>
            </w:r>
          </w:p>
        </w:tc>
        <w:tc>
          <w:tcPr>
            <w:tcW w:w="40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DN600，分体式流量计，配套户外箱1套</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1" w:hRule="atLeast"/>
        </w:trPr>
        <w:tc>
          <w:tcPr>
            <w:tcW w:w="8120" w:type="dxa"/>
            <w:gridSpan w:val="7"/>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合计（含税</w:t>
            </w:r>
            <w:r>
              <w:rPr>
                <w:rFonts w:hint="eastAsia" w:ascii="宋体" w:hAnsi="宋体" w:cs="宋体"/>
                <w:color w:val="000000"/>
                <w:kern w:val="0"/>
                <w:sz w:val="18"/>
                <w:szCs w:val="18"/>
                <w:u w:val="single"/>
                <w:lang w:val="en-US" w:eastAsia="zh-CN"/>
              </w:rPr>
              <w:t xml:space="preserve">   </w:t>
            </w:r>
            <w:r>
              <w:rPr>
                <w:rFonts w:hint="eastAsia" w:ascii="宋体" w:hAnsi="宋体" w:cs="宋体"/>
                <w:color w:val="000000"/>
                <w:kern w:val="0"/>
                <w:sz w:val="18"/>
                <w:szCs w:val="18"/>
                <w:lang w:val="en-US" w:eastAsia="zh-CN"/>
              </w:rPr>
              <w:t>％）</w:t>
            </w:r>
            <w:bookmarkStart w:id="0" w:name="_GoBack"/>
            <w:bookmarkEnd w:id="0"/>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59" w:hRule="atLeast"/>
        </w:trPr>
        <w:tc>
          <w:tcPr>
            <w:tcW w:w="8528"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集控平台升级改造</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269</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集控平台软件升级改造</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定制</w:t>
            </w:r>
          </w:p>
        </w:tc>
        <w:tc>
          <w:tcPr>
            <w:tcW w:w="4081"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针对一期的集控平台进行升级，主要内容包括：摸清泵站运行现状，建立数据动态更新机制；建立泵站动态监测与预警机制，通过监测网络及分析系统；建立基于监测与模拟的综合管理模式，实现按效分析的新型规划设计流程等功能。</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270</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泵闸运行管控</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定制</w:t>
            </w:r>
          </w:p>
        </w:tc>
        <w:tc>
          <w:tcPr>
            <w:tcW w:w="4081"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通过和集控系统对接，完成各泵闸站运行工况及关键运行指标的实时采集，实现在远端对上述数据进行有效管控，以一张图直观展示泵站河闸的落点分布，便捷查看泵闸站主要运行工况指标和关键统计指标，支持快速查看各泵闸站内视频监控画面和调阅历史监控画面，多重形式方便实现历史运行监测数据的查看、对比、趋势分析功能，基于灵活完备的报警规则基于感知数据触发相关的报警形成报警信息并向相关人员进行提醒，由对应人员完成报警情况的处理。此外，汇总运行监测数据形成各种主题的统计报表包括全要素运行一张图、泵闸拓扑总览、实时数据、实时列表、视频监控等功能。</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271</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泵站数字孪生</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定制</w:t>
            </w:r>
          </w:p>
        </w:tc>
        <w:tc>
          <w:tcPr>
            <w:tcW w:w="4081"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基于城市基础地形地貌数据对泵闸站进行总体位置分布情况的直观展示，对泵闸站周边环境、城市街道排布及周边建筑物基础设施等进行三维建模。</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272</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泵闸设备故障诊断</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定制</w:t>
            </w:r>
          </w:p>
        </w:tc>
        <w:tc>
          <w:tcPr>
            <w:tcW w:w="4081"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对于泵闸站内的主要设备建立完整的设备管理档案台账，将设备基本信息和设备运维历史记录进行汇总综合呈现，对设施内的关键设备增加必要的运行传感器，开发必要的自诊断算法基于运行传感器监测数据分析诊断设备当前运行风险，对设备将要出现的故障进行预判并向相关人员进行提醒，对设备一段时间内的运行效能情况进行统计，分析其能耗与产出的关系是否合理，是否工作在高效能区间。</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273</w:t>
            </w:r>
          </w:p>
        </w:tc>
        <w:tc>
          <w:tcPr>
            <w:tcW w:w="10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泵站大屏可视化平台</w:t>
            </w:r>
          </w:p>
        </w:tc>
        <w:tc>
          <w:tcPr>
            <w:tcW w:w="83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定制</w:t>
            </w:r>
          </w:p>
        </w:tc>
        <w:tc>
          <w:tcPr>
            <w:tcW w:w="4081"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运行管控大屏系统，汇总泵站运行业务及相关数据进行集中展示，以便各级管理人员对于当前整体运行情况进行整体把握，一目了然。规划建设运行管控大屏，具体包括以下内容：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1、泵闸位置分布，在大屏上以地图形式展示一期泵闸站及本期泵站的位置分布，通过点击操作触发各单点运行工况详细指标的展示。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2、展示所有泵闸站在线、离线及异常场景数量统计情况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3、展示当前接收到的暴雨及强降雨预警信息和未来降雨量预测数据。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4、展示泵闸站内关键设备（泵机、闸门）的运行或开闭状态。展示发生报警的关键设备或者工况状态正在发生变化时的关键设备联动的视频监控画面。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5、展示一段周期内泵闸站内关键设备的能效分析结果，包括绝对电量数据及泵组运行区区域出力能效情况分析数据等，便于运行管控人员了解泵闸站的运行效率。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6、展示基于当前泵闸站关键设备运行工况感知数据和加装传感器监测数据分析的设备预计故障概率，以便运行管控人员了解设备后续可能出现为异常情况。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l对接运营管理系统相关数据，展示一段周期内泵闸站运维记录统计结果。</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 w:hRule="atLeast"/>
        </w:trPr>
        <w:tc>
          <w:tcPr>
            <w:tcW w:w="4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274</w:t>
            </w:r>
          </w:p>
        </w:tc>
        <w:tc>
          <w:tcPr>
            <w:tcW w:w="10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上位机组态开发版</w:t>
            </w:r>
          </w:p>
        </w:tc>
        <w:tc>
          <w:tcPr>
            <w:tcW w:w="8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定制</w:t>
            </w:r>
          </w:p>
        </w:tc>
        <w:tc>
          <w:tcPr>
            <w:tcW w:w="408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主要包括在上位机阀门（启闭机）的现行位置和状态在上位机的操作界面上以图形、颜色和文字方式显示、选择模式、报警确认以及上位机控制系统接入集控系统，将流量信号、电量参数、水位信号及其余生产感知数据和设备的工况参数传送至监控中心，监控中心可据此实现实时泵闸站运行过程监视，中控调度人员可遥控现场控制设备，查询过程报警，实时及历史数据组态等等功能。</w:t>
            </w:r>
          </w:p>
        </w:tc>
        <w:tc>
          <w:tcPr>
            <w:tcW w:w="4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0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795" w:hRule="atLeast"/>
        </w:trPr>
        <w:tc>
          <w:tcPr>
            <w:tcW w:w="8120"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合计（含税</w:t>
            </w:r>
            <w:r>
              <w:rPr>
                <w:rFonts w:hint="eastAsia" w:ascii="宋体" w:hAnsi="宋体" w:cs="宋体"/>
                <w:color w:val="000000"/>
                <w:kern w:val="0"/>
                <w:sz w:val="18"/>
                <w:szCs w:val="18"/>
                <w:u w:val="single"/>
                <w:lang w:val="en-US" w:eastAsia="zh-CN"/>
              </w:rPr>
              <w:t xml:space="preserve">   </w:t>
            </w:r>
            <w:r>
              <w:rPr>
                <w:rFonts w:hint="eastAsia" w:ascii="宋体" w:hAnsi="宋体" w:cs="宋体"/>
                <w:color w:val="000000"/>
                <w:kern w:val="0"/>
                <w:sz w:val="18"/>
                <w:szCs w:val="18"/>
                <w:lang w:val="en-US" w:eastAsia="zh-CN"/>
              </w:rPr>
              <w:t>％）</w:t>
            </w:r>
          </w:p>
        </w:tc>
        <w:tc>
          <w:tcPr>
            <w:tcW w:w="40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rPr>
            </w:pPr>
          </w:p>
        </w:tc>
      </w:tr>
    </w:tbl>
    <w:p>
      <w:pPr>
        <w:adjustRightInd w:val="0"/>
        <w:snapToGrid w:val="0"/>
        <w:spacing w:after="60"/>
        <w:rPr>
          <w:rFonts w:ascii="宋体" w:hAnsi="宋体"/>
          <w:szCs w:val="21"/>
        </w:rPr>
      </w:pPr>
    </w:p>
    <w:p>
      <w:pPr>
        <w:adjustRightInd w:val="0"/>
        <w:snapToGrid w:val="0"/>
        <w:spacing w:after="60"/>
        <w:rPr>
          <w:rFonts w:ascii="宋体" w:hAnsi="宋体"/>
          <w:szCs w:val="21"/>
        </w:rPr>
      </w:pPr>
      <w:r>
        <w:rPr>
          <w:rFonts w:ascii="宋体" w:hAnsi="宋体"/>
          <w:szCs w:val="21"/>
        </w:rPr>
        <w:t>备注</w:t>
      </w:r>
      <w:r>
        <w:rPr>
          <w:rFonts w:hint="eastAsia" w:ascii="宋体" w:hAnsi="宋体"/>
          <w:szCs w:val="21"/>
        </w:rPr>
        <w:t>：</w:t>
      </w:r>
    </w:p>
    <w:p>
      <w:pPr>
        <w:adjustRightInd w:val="0"/>
        <w:snapToGrid w:val="0"/>
        <w:spacing w:after="60"/>
        <w:ind w:firstLine="420" w:firstLineChars="200"/>
        <w:rPr>
          <w:rFonts w:ascii="宋体" w:hAnsi="宋体"/>
          <w:szCs w:val="21"/>
        </w:rPr>
      </w:pPr>
      <w:r>
        <w:rPr>
          <w:rFonts w:hint="eastAsia" w:ascii="宋体" w:hAnsi="宋体"/>
          <w:szCs w:val="21"/>
        </w:rPr>
        <w:t>1、特别说明：潜在供应商本次报价不作为本项目的投标报价，供应商的投标报价以供应商递交的正式投标文件为准。</w:t>
      </w:r>
    </w:p>
    <w:p>
      <w:pPr>
        <w:adjustRightInd w:val="0"/>
        <w:snapToGrid w:val="0"/>
        <w:spacing w:after="60"/>
        <w:ind w:firstLine="420" w:firstLineChars="200"/>
        <w:rPr>
          <w:rFonts w:ascii="宋体" w:hAnsi="宋体"/>
          <w:szCs w:val="21"/>
        </w:rPr>
      </w:pPr>
      <w:r>
        <w:rPr>
          <w:rFonts w:hint="eastAsia" w:ascii="宋体" w:hAnsi="宋体"/>
          <w:szCs w:val="21"/>
        </w:rPr>
        <w:t>2、此报价含项目迁移对接费用，最终系统开发成果归招标人所有，供应商需交付系统源代码。</w:t>
      </w:r>
    </w:p>
    <w:p>
      <w:pPr>
        <w:adjustRightInd w:val="0"/>
        <w:snapToGrid w:val="0"/>
        <w:spacing w:after="60"/>
        <w:ind w:firstLine="420" w:firstLineChars="200"/>
        <w:rPr>
          <w:rFonts w:ascii="宋体" w:hAnsi="宋体"/>
          <w:szCs w:val="21"/>
        </w:rPr>
      </w:pPr>
      <w:r>
        <w:rPr>
          <w:rFonts w:ascii="宋体" w:hAnsi="宋体"/>
          <w:szCs w:val="21"/>
        </w:rPr>
        <w:t>3</w:t>
      </w:r>
      <w:r>
        <w:rPr>
          <w:rFonts w:hint="eastAsia" w:ascii="宋体" w:hAnsi="宋体"/>
          <w:szCs w:val="21"/>
        </w:rPr>
        <w:t>、“报价方式”以一次报清，所有产品应满足需求书要求及供应商承诺，完成本项目所需的所有费用必须包含在投标报价中，如以后已实施而未列入报价的费用将被视为供应商优惠，供应商均不予支付。</w:t>
      </w:r>
    </w:p>
    <w:p>
      <w:pPr>
        <w:adjustRightInd w:val="0"/>
        <w:snapToGrid w:val="0"/>
        <w:spacing w:after="60"/>
        <w:ind w:firstLine="420" w:firstLineChars="200"/>
        <w:rPr>
          <w:rFonts w:ascii="宋体" w:hAnsi="宋体"/>
          <w:szCs w:val="21"/>
        </w:rPr>
      </w:pPr>
      <w:r>
        <w:rPr>
          <w:rFonts w:ascii="宋体" w:hAnsi="宋体"/>
          <w:szCs w:val="21"/>
        </w:rPr>
        <w:t>4</w:t>
      </w:r>
      <w:r>
        <w:rPr>
          <w:rFonts w:hint="eastAsia" w:ascii="宋体" w:hAnsi="宋体"/>
          <w:szCs w:val="21"/>
        </w:rPr>
        <w:t>、投标报价精确至元。</w:t>
      </w:r>
    </w:p>
    <w:p>
      <w:pPr>
        <w:ind w:right="420" w:firstLine="480" w:firstLineChars="200"/>
        <w:jc w:val="right"/>
      </w:pPr>
      <w:r>
        <w:rPr>
          <w:rFonts w:hint="eastAsia" w:ascii="宋体" w:hAnsi="宋体"/>
          <w:sz w:val="24"/>
        </w:rPr>
        <w:t>公司名称（盖章）：</w:t>
      </w:r>
    </w:p>
    <w:p>
      <w:pPr>
        <w:ind w:right="480"/>
        <w:jc w:val="right"/>
        <w:rPr>
          <w:rFonts w:ascii="宋体" w:hAnsi="宋体"/>
          <w:b/>
          <w:sz w:val="24"/>
        </w:rPr>
      </w:pPr>
      <w:r>
        <w:rPr>
          <w:rFonts w:hint="eastAsia" w:ascii="宋体" w:hAnsi="宋体"/>
          <w:sz w:val="24"/>
        </w:rPr>
        <w:t>日期：XX年XX月XX日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kODY2ZGNkOThlZjI1OWNmZDcyZDg2ZTA0ODkzOTUifQ=="/>
  </w:docVars>
  <w:rsids>
    <w:rsidRoot w:val="00850760"/>
    <w:rsid w:val="00004FC2"/>
    <w:rsid w:val="00012E66"/>
    <w:rsid w:val="00021F3F"/>
    <w:rsid w:val="000278A0"/>
    <w:rsid w:val="000851CA"/>
    <w:rsid w:val="0011389E"/>
    <w:rsid w:val="00123DD3"/>
    <w:rsid w:val="00130E05"/>
    <w:rsid w:val="00170328"/>
    <w:rsid w:val="001B1286"/>
    <w:rsid w:val="001C4F54"/>
    <w:rsid w:val="001C53D2"/>
    <w:rsid w:val="001F5FCE"/>
    <w:rsid w:val="002753DB"/>
    <w:rsid w:val="002A6255"/>
    <w:rsid w:val="002F3754"/>
    <w:rsid w:val="0032710A"/>
    <w:rsid w:val="0035184F"/>
    <w:rsid w:val="003A23D5"/>
    <w:rsid w:val="003A67FC"/>
    <w:rsid w:val="003B0589"/>
    <w:rsid w:val="004255CB"/>
    <w:rsid w:val="00432E5F"/>
    <w:rsid w:val="00435F09"/>
    <w:rsid w:val="004724EA"/>
    <w:rsid w:val="00487DEC"/>
    <w:rsid w:val="004951E9"/>
    <w:rsid w:val="004B43BB"/>
    <w:rsid w:val="004D63FD"/>
    <w:rsid w:val="005054D9"/>
    <w:rsid w:val="0054691B"/>
    <w:rsid w:val="00584133"/>
    <w:rsid w:val="00596183"/>
    <w:rsid w:val="00657D19"/>
    <w:rsid w:val="00657E98"/>
    <w:rsid w:val="006904C8"/>
    <w:rsid w:val="006A5187"/>
    <w:rsid w:val="00726807"/>
    <w:rsid w:val="0073624C"/>
    <w:rsid w:val="00785766"/>
    <w:rsid w:val="007A1039"/>
    <w:rsid w:val="007C0975"/>
    <w:rsid w:val="00850760"/>
    <w:rsid w:val="008542DD"/>
    <w:rsid w:val="00861EEF"/>
    <w:rsid w:val="008624E0"/>
    <w:rsid w:val="0088737F"/>
    <w:rsid w:val="00920C0C"/>
    <w:rsid w:val="00935B88"/>
    <w:rsid w:val="009419BE"/>
    <w:rsid w:val="00977991"/>
    <w:rsid w:val="009A5178"/>
    <w:rsid w:val="009D3191"/>
    <w:rsid w:val="009E189C"/>
    <w:rsid w:val="00A65FC4"/>
    <w:rsid w:val="00A725ED"/>
    <w:rsid w:val="00A730A0"/>
    <w:rsid w:val="00AE7611"/>
    <w:rsid w:val="00B122E8"/>
    <w:rsid w:val="00BA57AC"/>
    <w:rsid w:val="00BF7BF2"/>
    <w:rsid w:val="00C06F77"/>
    <w:rsid w:val="00C12DF8"/>
    <w:rsid w:val="00C236EA"/>
    <w:rsid w:val="00C42A8D"/>
    <w:rsid w:val="00C47A8A"/>
    <w:rsid w:val="00C631B2"/>
    <w:rsid w:val="00C73B42"/>
    <w:rsid w:val="00C74ABA"/>
    <w:rsid w:val="00C7733B"/>
    <w:rsid w:val="00C9286A"/>
    <w:rsid w:val="00CA77B8"/>
    <w:rsid w:val="00CC2A0D"/>
    <w:rsid w:val="00CF2C6F"/>
    <w:rsid w:val="00D3509C"/>
    <w:rsid w:val="00D45D4F"/>
    <w:rsid w:val="00D46122"/>
    <w:rsid w:val="00DA6C59"/>
    <w:rsid w:val="00DC2BFE"/>
    <w:rsid w:val="00DD1A31"/>
    <w:rsid w:val="00E01358"/>
    <w:rsid w:val="00E55F5D"/>
    <w:rsid w:val="00EA3B0F"/>
    <w:rsid w:val="00F33E71"/>
    <w:rsid w:val="00F746CE"/>
    <w:rsid w:val="03D46EC3"/>
    <w:rsid w:val="08302F69"/>
    <w:rsid w:val="083B4A02"/>
    <w:rsid w:val="08892439"/>
    <w:rsid w:val="0C42073F"/>
    <w:rsid w:val="0C75092A"/>
    <w:rsid w:val="1E3E1CCA"/>
    <w:rsid w:val="288B00D3"/>
    <w:rsid w:val="299C6D04"/>
    <w:rsid w:val="2B167011"/>
    <w:rsid w:val="2D4A4044"/>
    <w:rsid w:val="2FA62477"/>
    <w:rsid w:val="312A4F97"/>
    <w:rsid w:val="32FD2A99"/>
    <w:rsid w:val="33D31695"/>
    <w:rsid w:val="34DD3E36"/>
    <w:rsid w:val="42885C3C"/>
    <w:rsid w:val="44CD4E0B"/>
    <w:rsid w:val="4B8F2639"/>
    <w:rsid w:val="4C335A91"/>
    <w:rsid w:val="53D82D61"/>
    <w:rsid w:val="552D3539"/>
    <w:rsid w:val="58EF283E"/>
    <w:rsid w:val="5C4C48AC"/>
    <w:rsid w:val="5EB564DB"/>
    <w:rsid w:val="62C1701E"/>
    <w:rsid w:val="62FC2BE9"/>
    <w:rsid w:val="648C48CF"/>
    <w:rsid w:val="65BD2F6F"/>
    <w:rsid w:val="6A1B1AB7"/>
    <w:rsid w:val="6D226D7D"/>
    <w:rsid w:val="6DA8005B"/>
    <w:rsid w:val="7219493D"/>
    <w:rsid w:val="748666A8"/>
    <w:rsid w:val="78FF0F7B"/>
    <w:rsid w:val="799F4335"/>
    <w:rsid w:val="79F54D30"/>
    <w:rsid w:val="7A334105"/>
    <w:rsid w:val="7D543AC4"/>
    <w:rsid w:val="7D753B6C"/>
    <w:rsid w:val="7DF066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1"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9"/>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4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1"/>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6">
    <w:name w:val="heading 4"/>
    <w:basedOn w:val="1"/>
    <w:next w:val="1"/>
    <w:link w:val="42"/>
    <w:unhideWhenUsed/>
    <w:qFormat/>
    <w:uiPriority w:val="9"/>
    <w:pPr>
      <w:autoSpaceDE w:val="0"/>
      <w:autoSpaceDN w:val="0"/>
      <w:spacing w:before="20"/>
      <w:ind w:left="1578" w:hanging="602"/>
      <w:jc w:val="left"/>
      <w:outlineLvl w:val="3"/>
    </w:pPr>
    <w:rPr>
      <w:rFonts w:ascii="宋体" w:hAnsi="宋体" w:cs="宋体"/>
      <w:kern w:val="0"/>
      <w:sz w:val="24"/>
      <w:lang w:val="zh-CN" w:bidi="zh-CN"/>
    </w:rPr>
  </w:style>
  <w:style w:type="paragraph" w:styleId="7">
    <w:name w:val="heading 5"/>
    <w:basedOn w:val="1"/>
    <w:next w:val="1"/>
    <w:link w:val="43"/>
    <w:unhideWhenUsed/>
    <w:qFormat/>
    <w:uiPriority w:val="9"/>
    <w:pPr>
      <w:autoSpaceDE w:val="0"/>
      <w:autoSpaceDN w:val="0"/>
      <w:ind w:left="920"/>
      <w:jc w:val="left"/>
      <w:outlineLvl w:val="4"/>
    </w:pPr>
    <w:rPr>
      <w:rFonts w:ascii="宋体" w:hAnsi="宋体" w:cs="宋体"/>
      <w:b/>
      <w:bCs/>
      <w:kern w:val="0"/>
      <w:szCs w:val="21"/>
      <w:lang w:val="zh-CN" w:bidi="zh-CN"/>
    </w:rPr>
  </w:style>
  <w:style w:type="paragraph" w:styleId="8">
    <w:name w:val="heading 6"/>
    <w:basedOn w:val="1"/>
    <w:next w:val="1"/>
    <w:link w:val="44"/>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2">
    <w:name w:val="Plain Text"/>
    <w:basedOn w:val="1"/>
    <w:link w:val="83"/>
    <w:unhideWhenUsed/>
    <w:qFormat/>
    <w:uiPriority w:val="99"/>
    <w:rPr>
      <w:rFonts w:ascii="宋体" w:hAnsi="Courier New" w:cs="Courier New"/>
      <w:szCs w:val="21"/>
    </w:rPr>
  </w:style>
  <w:style w:type="paragraph" w:styleId="9">
    <w:name w:val="annotation text"/>
    <w:basedOn w:val="1"/>
    <w:link w:val="37"/>
    <w:semiHidden/>
    <w:unhideWhenUsed/>
    <w:qFormat/>
    <w:uiPriority w:val="99"/>
    <w:pPr>
      <w:jc w:val="left"/>
    </w:pPr>
  </w:style>
  <w:style w:type="paragraph" w:styleId="10">
    <w:name w:val="Body Text"/>
    <w:basedOn w:val="1"/>
    <w:link w:val="51"/>
    <w:unhideWhenUsed/>
    <w:qFormat/>
    <w:uiPriority w:val="1"/>
    <w:pPr>
      <w:spacing w:after="120"/>
    </w:pPr>
    <w:rPr>
      <w:rFonts w:asciiTheme="minorHAnsi" w:hAnsiTheme="minorHAnsi" w:eastAsiaTheme="minorEastAsia" w:cstheme="minorBidi"/>
      <w:szCs w:val="22"/>
    </w:rPr>
  </w:style>
  <w:style w:type="paragraph" w:styleId="11">
    <w:name w:val="Body Text Indent"/>
    <w:basedOn w:val="1"/>
    <w:semiHidden/>
    <w:unhideWhenUsed/>
    <w:qFormat/>
    <w:uiPriority w:val="99"/>
    <w:pPr>
      <w:spacing w:after="120"/>
      <w:ind w:left="420" w:leftChars="200"/>
    </w:pPr>
  </w:style>
  <w:style w:type="paragraph" w:styleId="12">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3">
    <w:name w:val="Balloon Text"/>
    <w:basedOn w:val="1"/>
    <w:link w:val="39"/>
    <w:semiHidden/>
    <w:unhideWhenUsed/>
    <w:qFormat/>
    <w:uiPriority w:val="99"/>
    <w:rPr>
      <w:sz w:val="18"/>
      <w:szCs w:val="18"/>
    </w:rPr>
  </w:style>
  <w:style w:type="paragraph" w:styleId="14">
    <w:name w:val="footer"/>
    <w:basedOn w:val="1"/>
    <w:link w:val="3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2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7">
    <w:name w:val="toc 4"/>
    <w:basedOn w:val="1"/>
    <w:next w:val="1"/>
    <w:qFormat/>
    <w:uiPriority w:val="1"/>
    <w:pPr>
      <w:autoSpaceDE w:val="0"/>
      <w:autoSpaceDN w:val="0"/>
      <w:spacing w:before="199"/>
      <w:ind w:left="1923" w:hanging="604"/>
      <w:jc w:val="left"/>
    </w:pPr>
    <w:rPr>
      <w:rFonts w:ascii="宋体" w:hAnsi="宋体" w:cs="宋体"/>
      <w:b/>
      <w:bCs/>
      <w:i/>
      <w:kern w:val="0"/>
      <w:sz w:val="22"/>
      <w:szCs w:val="22"/>
      <w:lang w:val="zh-CN" w:bidi="zh-CN"/>
    </w:rPr>
  </w:style>
  <w:style w:type="paragraph" w:styleId="18">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20">
    <w:name w:val="annotation subject"/>
    <w:basedOn w:val="9"/>
    <w:next w:val="9"/>
    <w:link w:val="38"/>
    <w:semiHidden/>
    <w:unhideWhenUsed/>
    <w:qFormat/>
    <w:uiPriority w:val="99"/>
    <w:rPr>
      <w:b/>
      <w:bCs/>
    </w:rPr>
  </w:style>
  <w:style w:type="paragraph" w:styleId="21">
    <w:name w:val="Body Text First Indent 2"/>
    <w:basedOn w:val="11"/>
    <w:unhideWhenUsed/>
    <w:qFormat/>
    <w:uiPriority w:val="99"/>
    <w:pPr>
      <w:spacing w:afterLines="25" w:line="300" w:lineRule="auto"/>
      <w:ind w:firstLine="420" w:firstLineChars="200"/>
    </w:p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semiHidden/>
    <w:unhideWhenUsed/>
    <w:uiPriority w:val="99"/>
    <w:rPr>
      <w:color w:val="954F72"/>
      <w:u w:val="single"/>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paragraph" w:customStyle="1" w:styleId="28">
    <w:name w:val="表格文字"/>
    <w:basedOn w:val="1"/>
    <w:qFormat/>
    <w:uiPriority w:val="0"/>
    <w:pPr>
      <w:spacing w:before="25" w:after="25"/>
      <w:jc w:val="left"/>
    </w:pPr>
    <w:rPr>
      <w:rFonts w:asciiTheme="minorHAnsi" w:hAnsiTheme="minorHAnsi" w:eastAsiaTheme="minorEastAsia" w:cstheme="minorBidi"/>
      <w:bCs/>
      <w:spacing w:val="10"/>
      <w:kern w:val="0"/>
      <w:sz w:val="24"/>
      <w:szCs w:val="22"/>
    </w:rPr>
  </w:style>
  <w:style w:type="character" w:customStyle="1" w:styleId="29">
    <w:name w:val="页眉 字符"/>
    <w:basedOn w:val="24"/>
    <w:link w:val="15"/>
    <w:qFormat/>
    <w:uiPriority w:val="99"/>
    <w:rPr>
      <w:sz w:val="18"/>
      <w:szCs w:val="18"/>
    </w:rPr>
  </w:style>
  <w:style w:type="character" w:customStyle="1" w:styleId="30">
    <w:name w:val="页脚 字符"/>
    <w:basedOn w:val="24"/>
    <w:link w:val="14"/>
    <w:qFormat/>
    <w:uiPriority w:val="99"/>
    <w:rPr>
      <w:sz w:val="18"/>
      <w:szCs w:val="18"/>
    </w:rPr>
  </w:style>
  <w:style w:type="character" w:customStyle="1" w:styleId="31">
    <w:name w:val="font71"/>
    <w:basedOn w:val="24"/>
    <w:qFormat/>
    <w:uiPriority w:val="0"/>
    <w:rPr>
      <w:rFonts w:hint="eastAsia" w:ascii="宋体" w:hAnsi="宋体" w:eastAsia="宋体" w:cs="宋体"/>
      <w:color w:val="000000"/>
      <w:sz w:val="20"/>
      <w:szCs w:val="20"/>
      <w:u w:val="none"/>
    </w:rPr>
  </w:style>
  <w:style w:type="character" w:customStyle="1" w:styleId="32">
    <w:name w:val="font11"/>
    <w:basedOn w:val="24"/>
    <w:qFormat/>
    <w:uiPriority w:val="0"/>
    <w:rPr>
      <w:rFonts w:hint="eastAsia" w:ascii="宋体" w:hAnsi="宋体" w:eastAsia="宋体" w:cs="宋体"/>
      <w:color w:val="000000"/>
      <w:sz w:val="22"/>
      <w:szCs w:val="22"/>
      <w:u w:val="none"/>
    </w:rPr>
  </w:style>
  <w:style w:type="character" w:customStyle="1" w:styleId="33">
    <w:name w:val="font41"/>
    <w:basedOn w:val="24"/>
    <w:qFormat/>
    <w:uiPriority w:val="0"/>
    <w:rPr>
      <w:rFonts w:hint="eastAsia" w:ascii="宋体" w:hAnsi="宋体" w:eastAsia="宋体" w:cs="宋体"/>
      <w:color w:val="FF0000"/>
      <w:sz w:val="22"/>
      <w:szCs w:val="22"/>
      <w:u w:val="none"/>
    </w:rPr>
  </w:style>
  <w:style w:type="character" w:customStyle="1" w:styleId="34">
    <w:name w:val="font21"/>
    <w:basedOn w:val="24"/>
    <w:qFormat/>
    <w:uiPriority w:val="0"/>
    <w:rPr>
      <w:rFonts w:hint="eastAsia" w:ascii="宋体" w:hAnsi="宋体" w:eastAsia="宋体" w:cs="宋体"/>
      <w:color w:val="000000"/>
      <w:sz w:val="22"/>
      <w:szCs w:val="22"/>
      <w:u w:val="none"/>
    </w:rPr>
  </w:style>
  <w:style w:type="character" w:customStyle="1" w:styleId="35">
    <w:name w:val="font01"/>
    <w:basedOn w:val="24"/>
    <w:qFormat/>
    <w:uiPriority w:val="0"/>
    <w:rPr>
      <w:rFonts w:hint="eastAsia" w:ascii="宋体" w:hAnsi="宋体" w:eastAsia="宋体" w:cs="宋体"/>
      <w:color w:val="FF0000"/>
      <w:sz w:val="22"/>
      <w:szCs w:val="22"/>
      <w:u w:val="none"/>
    </w:rPr>
  </w:style>
  <w:style w:type="character" w:customStyle="1" w:styleId="36">
    <w:name w:val="标题 1 字符"/>
    <w:basedOn w:val="24"/>
    <w:link w:val="3"/>
    <w:qFormat/>
    <w:uiPriority w:val="9"/>
    <w:rPr>
      <w:rFonts w:ascii="Calibri" w:hAnsi="Calibri" w:eastAsia="宋体" w:cs="Times New Roman"/>
      <w:b/>
      <w:bCs/>
      <w:kern w:val="44"/>
      <w:sz w:val="44"/>
      <w:szCs w:val="44"/>
    </w:rPr>
  </w:style>
  <w:style w:type="character" w:customStyle="1" w:styleId="37">
    <w:name w:val="批注文字 字符"/>
    <w:basedOn w:val="24"/>
    <w:link w:val="9"/>
    <w:semiHidden/>
    <w:qFormat/>
    <w:uiPriority w:val="99"/>
    <w:rPr>
      <w:kern w:val="2"/>
      <w:sz w:val="21"/>
      <w:szCs w:val="24"/>
    </w:rPr>
  </w:style>
  <w:style w:type="character" w:customStyle="1" w:styleId="38">
    <w:name w:val="批注主题 字符"/>
    <w:basedOn w:val="37"/>
    <w:link w:val="20"/>
    <w:semiHidden/>
    <w:qFormat/>
    <w:uiPriority w:val="99"/>
    <w:rPr>
      <w:b/>
      <w:bCs/>
      <w:kern w:val="2"/>
      <w:sz w:val="21"/>
      <w:szCs w:val="24"/>
    </w:rPr>
  </w:style>
  <w:style w:type="character" w:customStyle="1" w:styleId="39">
    <w:name w:val="批注框文本 字符"/>
    <w:basedOn w:val="24"/>
    <w:link w:val="13"/>
    <w:semiHidden/>
    <w:qFormat/>
    <w:uiPriority w:val="99"/>
    <w:rPr>
      <w:kern w:val="2"/>
      <w:sz w:val="18"/>
      <w:szCs w:val="18"/>
    </w:rPr>
  </w:style>
  <w:style w:type="character" w:customStyle="1" w:styleId="40">
    <w:name w:val="标题 2 字符"/>
    <w:basedOn w:val="24"/>
    <w:link w:val="4"/>
    <w:qFormat/>
    <w:uiPriority w:val="9"/>
    <w:rPr>
      <w:rFonts w:asciiTheme="majorHAnsi" w:hAnsiTheme="majorHAnsi" w:eastAsiaTheme="majorEastAsia" w:cstheme="majorBidi"/>
      <w:b/>
      <w:bCs/>
      <w:kern w:val="2"/>
      <w:sz w:val="32"/>
      <w:szCs w:val="32"/>
    </w:rPr>
  </w:style>
  <w:style w:type="character" w:customStyle="1" w:styleId="41">
    <w:name w:val="标题 3 字符"/>
    <w:basedOn w:val="24"/>
    <w:link w:val="5"/>
    <w:qFormat/>
    <w:uiPriority w:val="9"/>
    <w:rPr>
      <w:rFonts w:asciiTheme="minorHAnsi" w:hAnsiTheme="minorHAnsi" w:eastAsiaTheme="minorEastAsia" w:cstheme="minorBidi"/>
      <w:b/>
      <w:bCs/>
      <w:kern w:val="2"/>
      <w:sz w:val="32"/>
      <w:szCs w:val="32"/>
    </w:rPr>
  </w:style>
  <w:style w:type="character" w:customStyle="1" w:styleId="42">
    <w:name w:val="标题 4 字符"/>
    <w:basedOn w:val="24"/>
    <w:link w:val="6"/>
    <w:qFormat/>
    <w:uiPriority w:val="9"/>
    <w:rPr>
      <w:rFonts w:ascii="宋体" w:hAnsi="宋体" w:cs="宋体"/>
      <w:sz w:val="24"/>
      <w:szCs w:val="24"/>
      <w:lang w:val="zh-CN" w:bidi="zh-CN"/>
    </w:rPr>
  </w:style>
  <w:style w:type="character" w:customStyle="1" w:styleId="43">
    <w:name w:val="标题 5 字符"/>
    <w:basedOn w:val="24"/>
    <w:link w:val="7"/>
    <w:qFormat/>
    <w:uiPriority w:val="9"/>
    <w:rPr>
      <w:rFonts w:ascii="宋体" w:hAnsi="宋体" w:cs="宋体"/>
      <w:b/>
      <w:bCs/>
      <w:sz w:val="21"/>
      <w:szCs w:val="21"/>
      <w:lang w:val="zh-CN" w:bidi="zh-CN"/>
    </w:rPr>
  </w:style>
  <w:style w:type="character" w:customStyle="1" w:styleId="44">
    <w:name w:val="标题 6 字符"/>
    <w:basedOn w:val="24"/>
    <w:link w:val="8"/>
    <w:qFormat/>
    <w:uiPriority w:val="9"/>
    <w:rPr>
      <w:rFonts w:asciiTheme="majorHAnsi" w:hAnsiTheme="majorHAnsi" w:eastAsiaTheme="majorEastAsia" w:cstheme="majorBidi"/>
      <w:b/>
      <w:bCs/>
      <w:kern w:val="2"/>
      <w:sz w:val="24"/>
      <w:szCs w:val="24"/>
    </w:rPr>
  </w:style>
  <w:style w:type="paragraph" w:styleId="45">
    <w:name w:val="List Paragraph"/>
    <w:basedOn w:val="1"/>
    <w:link w:val="50"/>
    <w:qFormat/>
    <w:uiPriority w:val="1"/>
    <w:pPr>
      <w:ind w:firstLine="420" w:firstLineChars="200"/>
    </w:pPr>
    <w:rPr>
      <w:rFonts w:asciiTheme="minorHAnsi" w:hAnsiTheme="minorHAnsi" w:eastAsiaTheme="minorEastAsia" w:cstheme="minorBidi"/>
      <w:szCs w:val="22"/>
    </w:rPr>
  </w:style>
  <w:style w:type="paragraph" w:customStyle="1" w:styleId="4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7">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8">
    <w:name w:val="页眉1"/>
    <w:basedOn w:val="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49">
    <w:name w:val="页脚1"/>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customStyle="1" w:styleId="50">
    <w:name w:val="列表段落 字符"/>
    <w:link w:val="45"/>
    <w:qFormat/>
    <w:uiPriority w:val="1"/>
    <w:rPr>
      <w:rFonts w:asciiTheme="minorHAnsi" w:hAnsiTheme="minorHAnsi" w:eastAsiaTheme="minorEastAsia" w:cstheme="minorBidi"/>
      <w:kern w:val="2"/>
      <w:sz w:val="21"/>
      <w:szCs w:val="22"/>
    </w:rPr>
  </w:style>
  <w:style w:type="character" w:customStyle="1" w:styleId="51">
    <w:name w:val="正文文本 字符"/>
    <w:basedOn w:val="24"/>
    <w:link w:val="10"/>
    <w:qFormat/>
    <w:uiPriority w:val="1"/>
    <w:rPr>
      <w:rFonts w:asciiTheme="minorHAnsi" w:hAnsiTheme="minorHAnsi" w:eastAsiaTheme="minorEastAsia" w:cstheme="minorBidi"/>
      <w:kern w:val="2"/>
      <w:sz w:val="21"/>
      <w:szCs w:val="22"/>
    </w:rPr>
  </w:style>
  <w:style w:type="table" w:customStyle="1" w:styleId="52">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53">
    <w:name w:val="Table Paragraph"/>
    <w:basedOn w:val="1"/>
    <w:qFormat/>
    <w:uiPriority w:val="1"/>
    <w:pPr>
      <w:autoSpaceDE w:val="0"/>
      <w:autoSpaceDN w:val="0"/>
      <w:spacing w:before="1"/>
      <w:jc w:val="left"/>
    </w:pPr>
    <w:rPr>
      <w:rFonts w:ascii="宋体" w:hAnsi="宋体" w:cs="宋体"/>
      <w:kern w:val="0"/>
      <w:sz w:val="22"/>
      <w:szCs w:val="22"/>
      <w:lang w:val="zh-CN" w:bidi="zh-CN"/>
    </w:rPr>
  </w:style>
  <w:style w:type="paragraph" w:customStyle="1" w:styleId="54">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5">
    <w:name w:val="列表段落1"/>
    <w:basedOn w:val="1"/>
    <w:qFormat/>
    <w:uiPriority w:val="0"/>
    <w:pPr>
      <w:widowControl/>
      <w:ind w:firstLine="420" w:firstLineChars="200"/>
      <w:jc w:val="left"/>
    </w:pPr>
    <w:rPr>
      <w:szCs w:val="21"/>
    </w:rPr>
  </w:style>
  <w:style w:type="paragraph" w:customStyle="1" w:styleId="56">
    <w:name w:val="列表段落2"/>
    <w:basedOn w:val="1"/>
    <w:qFormat/>
    <w:uiPriority w:val="0"/>
    <w:pPr>
      <w:widowControl/>
      <w:ind w:firstLine="420" w:firstLineChars="200"/>
      <w:jc w:val="left"/>
    </w:pPr>
    <w:rPr>
      <w:szCs w:val="21"/>
    </w:rPr>
  </w:style>
  <w:style w:type="paragraph" w:customStyle="1" w:styleId="57">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58">
    <w:name w:val="font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9">
    <w:name w:val="font1"/>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60">
    <w:name w:val="font2"/>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61">
    <w:name w:val="font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2">
    <w:name w:val="font4"/>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3">
    <w:name w:val="font5"/>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4">
    <w:name w:val="font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5">
    <w:name w:val="et4"/>
    <w:basedOn w:val="1"/>
    <w:qFormat/>
    <w:uiPriority w:val="0"/>
    <w:pPr>
      <w:widowControl/>
      <w:spacing w:before="100" w:beforeAutospacing="1" w:after="100" w:afterAutospacing="1"/>
      <w:jc w:val="left"/>
    </w:pPr>
    <w:rPr>
      <w:rFonts w:ascii="宋体" w:hAnsi="宋体" w:cs="宋体"/>
      <w:kern w:val="0"/>
      <w:sz w:val="24"/>
    </w:rPr>
  </w:style>
  <w:style w:type="paragraph" w:customStyle="1" w:styleId="66">
    <w:name w:val="et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67">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szCs w:val="20"/>
    </w:rPr>
  </w:style>
  <w:style w:type="paragraph" w:customStyle="1" w:styleId="68">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kern w:val="0"/>
      <w:sz w:val="20"/>
      <w:szCs w:val="20"/>
    </w:rPr>
  </w:style>
  <w:style w:type="paragraph" w:customStyle="1" w:styleId="69">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kern w:val="0"/>
      <w:sz w:val="20"/>
      <w:szCs w:val="20"/>
    </w:rPr>
  </w:style>
  <w:style w:type="paragraph" w:customStyle="1" w:styleId="70">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71">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72">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73">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74">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75">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76">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77">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78">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79">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80">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81">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82">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character" w:customStyle="1" w:styleId="83">
    <w:name w:val="纯文本 字符"/>
    <w:basedOn w:val="24"/>
    <w:link w:val="2"/>
    <w:uiPriority w:val="99"/>
    <w:rPr>
      <w:rFonts w:ascii="宋体" w:hAnsi="Courier New" w:cs="Courier New"/>
      <w:kern w:val="2"/>
      <w:sz w:val="21"/>
      <w:szCs w:val="21"/>
    </w:rPr>
  </w:style>
  <w:style w:type="paragraph" w:customStyle="1" w:styleId="84">
    <w:name w:val="font7"/>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5">
    <w:name w:val="xl6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86">
    <w:name w:val="xl6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87">
    <w:name w:val="xl6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88">
    <w:name w:val="xl6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89">
    <w:name w:val="xl6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90">
    <w:name w:val="xl7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91">
    <w:name w:val="xl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92">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93">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94">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95">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96">
    <w:name w:val="xl7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97">
    <w:name w:val="xl77"/>
    <w:basedOn w:val="1"/>
    <w:uiPriority w:val="0"/>
    <w:pPr>
      <w:widowControl/>
      <w:spacing w:before="100" w:beforeAutospacing="1" w:after="100" w:afterAutospacing="1"/>
      <w:jc w:val="center"/>
    </w:pPr>
    <w:rPr>
      <w:rFonts w:ascii="宋体" w:hAnsi="宋体" w:cs="宋体"/>
      <w:kern w:val="0"/>
      <w:sz w:val="18"/>
      <w:szCs w:val="18"/>
    </w:rPr>
  </w:style>
  <w:style w:type="paragraph" w:customStyle="1" w:styleId="98">
    <w:name w:val="xl78"/>
    <w:basedOn w:val="1"/>
    <w:uiPriority w:val="0"/>
    <w:pPr>
      <w:widowControl/>
      <w:spacing w:before="100" w:beforeAutospacing="1" w:after="100" w:afterAutospacing="1"/>
      <w:jc w:val="center"/>
    </w:pPr>
    <w:rPr>
      <w:rFonts w:ascii="宋体" w:hAnsi="宋体" w:cs="宋体"/>
      <w:color w:val="000000"/>
      <w:kern w:val="0"/>
      <w:sz w:val="18"/>
      <w:szCs w:val="18"/>
    </w:rPr>
  </w:style>
  <w:style w:type="paragraph" w:customStyle="1" w:styleId="99">
    <w:name w:val="xl79"/>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00">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01">
    <w:name w:val="xl81"/>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02">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3">
    <w:name w:val="xl83"/>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04">
    <w:name w:val="xl84"/>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05">
    <w:name w:val="xl85"/>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06">
    <w:name w:val="xl86"/>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07">
    <w:name w:val="xl87"/>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08">
    <w:name w:val="xl88"/>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09">
    <w:name w:val="xl89"/>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110">
    <w:name w:val="xl9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5397</Words>
  <Characters>7833</Characters>
  <Lines>82</Lines>
  <Paragraphs>23</Paragraphs>
  <TotalTime>1</TotalTime>
  <ScaleCrop>false</ScaleCrop>
  <LinksUpToDate>false</LinksUpToDate>
  <CharactersWithSpaces>8482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2022-09-23T08:05:00Z</dcterms:created>
  <dc:creator>lianghao</dc:creator>
  <cp:lastModifiedBy>Sarah</cp:lastModifiedBy>
  <cp:lastPrinted>2022-11-04T07:15:00Z</cp:lastPrinted>
  <dcterms:modified xsi:type="dcterms:W3CDTF">2023-05-17T07:11:51Z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AF2A77A4D48447CCAC3D2CBB2D3F9DF9_13</vt:lpwstr>
  </property>
</Properties>
</file>