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bCs/>
          <w:color w:val="000000" w:themeColor="text1"/>
          <w:sz w:val="52"/>
          <w:szCs w:val="52"/>
          <w14:textFill>
            <w14:solidFill>
              <w14:schemeClr w14:val="tx1"/>
            </w14:solidFill>
          </w14:textFill>
        </w:rPr>
      </w:pPr>
      <w:r>
        <w:rPr>
          <w:rFonts w:hint="eastAsia" w:ascii="仿宋" w:hAnsi="仿宋" w:eastAsia="仿宋"/>
          <w:b/>
          <w:bCs/>
          <w:color w:val="000000" w:themeColor="text1"/>
          <w:sz w:val="52"/>
          <w:szCs w:val="52"/>
          <w14:textFill>
            <w14:solidFill>
              <w14:schemeClr w14:val="tx1"/>
            </w14:solidFill>
          </w14:textFill>
        </w:rPr>
        <w:t>关于网络安全服务采购</w:t>
      </w:r>
    </w:p>
    <w:p>
      <w:pPr>
        <w:jc w:val="center"/>
        <w:rPr>
          <w:rFonts w:ascii="仿宋" w:hAnsi="仿宋" w:eastAsia="仿宋"/>
          <w:b/>
          <w:bCs/>
          <w:color w:val="000000" w:themeColor="text1"/>
          <w:sz w:val="52"/>
          <w:szCs w:val="52"/>
          <w14:textFill>
            <w14:solidFill>
              <w14:schemeClr w14:val="tx1"/>
            </w14:solidFill>
          </w14:textFill>
        </w:rPr>
      </w:pPr>
      <w:r>
        <w:rPr>
          <w:rFonts w:hint="eastAsia" w:ascii="仿宋" w:hAnsi="仿宋" w:eastAsia="仿宋"/>
          <w:b/>
          <w:bCs/>
          <w:color w:val="000000" w:themeColor="text1"/>
          <w:sz w:val="52"/>
          <w:szCs w:val="52"/>
          <w14:textFill>
            <w14:solidFill>
              <w14:schemeClr w14:val="tx1"/>
            </w14:solidFill>
          </w14:textFill>
        </w:rPr>
        <w:t>需求说明书</w:t>
      </w:r>
    </w:p>
    <w:p>
      <w:pPr>
        <w:jc w:val="center"/>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b/>
          <w:bCs/>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3"/>
        <w:numPr>
          <w:ilvl w:val="0"/>
          <w:numId w:val="1"/>
        </w:numPr>
        <w:jc w:val="left"/>
        <w:rPr>
          <w:rFonts w:ascii="仿宋" w:hAnsi="仿宋" w:eastAsia="仿宋"/>
          <w:color w:val="000000" w:themeColor="text1"/>
          <w14:textFill>
            <w14:solidFill>
              <w14:schemeClr w14:val="tx1"/>
            </w14:solidFill>
          </w14:textFill>
        </w:rPr>
      </w:pPr>
      <w:bookmarkStart w:id="0" w:name="_Toc118452720"/>
      <w:r>
        <w:rPr>
          <w:rFonts w:hint="eastAsia" w:ascii="仿宋" w:hAnsi="仿宋" w:eastAsia="仿宋"/>
          <w:color w:val="000000" w:themeColor="text1"/>
          <w14:textFill>
            <w14:solidFill>
              <w14:schemeClr w14:val="tx1"/>
            </w14:solidFill>
          </w14:textFill>
        </w:rPr>
        <w:t>项目概述</w:t>
      </w:r>
      <w:bookmarkEnd w:id="0"/>
    </w:p>
    <w:p>
      <w:pPr>
        <w:autoSpaceDE w:val="0"/>
        <w:adjustRightInd w:val="0"/>
        <w:ind w:firstLine="560" w:firstLineChars="200"/>
        <w:rPr>
          <w:rFonts w:ascii="仿宋_GB2312" w:eastAsia="仿宋_GB2312" w:cs="仿宋_GB2312"/>
          <w:color w:val="000000"/>
          <w:sz w:val="28"/>
          <w:szCs w:val="28"/>
          <w:shd w:val="clear" w:color="auto" w:fill="FFFFFF"/>
        </w:rPr>
      </w:pPr>
      <w:r>
        <w:rPr>
          <w:rFonts w:hint="eastAsia" w:ascii="仿宋_GB2312" w:eastAsia="仿宋_GB2312" w:cs="仿宋_GB2312"/>
          <w:color w:val="000000"/>
          <w:sz w:val="28"/>
          <w:szCs w:val="28"/>
          <w:shd w:val="clear" w:color="auto" w:fill="FFFFFF"/>
        </w:rPr>
        <w:t>响应中共深圳市宝安区委网信办要求，针对目前网络安全形势，举一反三，开展网络安全风险隐患排查，重点排查我司目前已建设信息系统，计划针对公司官网、公司微信公众号、二级节点标识业务管理系统平台、宝安区工业互联网公共服务平台等已上报至区委网信办安全审查重点系统名单开展季度性网络安全审计工作，完善网络安全时间应急处置预案，落实网络安全风险预警监测，进一步健全完善网络安全防护机制。现拟申请采购专业第三方网络安全公司，为我司提供网络安全服务工作。</w:t>
      </w:r>
    </w:p>
    <w:p>
      <w:pPr>
        <w:pStyle w:val="3"/>
        <w:numPr>
          <w:ilvl w:val="0"/>
          <w:numId w:val="1"/>
        </w:numPr>
        <w:rPr>
          <w:rFonts w:ascii="仿宋" w:hAnsi="仿宋" w:eastAsia="仿宋"/>
          <w:color w:val="000000" w:themeColor="text1"/>
          <w14:textFill>
            <w14:solidFill>
              <w14:schemeClr w14:val="tx1"/>
            </w14:solidFill>
          </w14:textFill>
        </w:rPr>
      </w:pPr>
      <w:bookmarkStart w:id="1" w:name="5.1.4_会议语音自动转写文字方案"/>
      <w:bookmarkEnd w:id="1"/>
      <w:bookmarkStart w:id="2" w:name="5.1.5_效果图"/>
      <w:bookmarkEnd w:id="2"/>
      <w:bookmarkStart w:id="3" w:name="_Toc118452721"/>
      <w:r>
        <w:rPr>
          <w:rFonts w:hint="eastAsia" w:ascii="仿宋" w:hAnsi="仿宋" w:eastAsia="仿宋"/>
          <w:color w:val="000000" w:themeColor="text1"/>
          <w14:textFill>
            <w14:solidFill>
              <w14:schemeClr w14:val="tx1"/>
            </w14:solidFill>
          </w14:textFill>
        </w:rPr>
        <w:t>服务需求清单列表</w:t>
      </w:r>
      <w:bookmarkEnd w:id="3"/>
    </w:p>
    <w:tbl>
      <w:tblPr>
        <w:tblStyle w:val="20"/>
        <w:tblW w:w="8453" w:type="dxa"/>
        <w:tblInd w:w="136" w:type="dxa"/>
        <w:tblLayout w:type="fixed"/>
        <w:tblCellMar>
          <w:top w:w="0" w:type="dxa"/>
          <w:left w:w="108" w:type="dxa"/>
          <w:bottom w:w="0" w:type="dxa"/>
          <w:right w:w="108" w:type="dxa"/>
        </w:tblCellMar>
      </w:tblPr>
      <w:tblGrid>
        <w:gridCol w:w="1125"/>
        <w:gridCol w:w="975"/>
        <w:gridCol w:w="1700"/>
        <w:gridCol w:w="3183"/>
        <w:gridCol w:w="1234"/>
        <w:gridCol w:w="236"/>
      </w:tblGrid>
      <w:tr>
        <w:tblPrEx>
          <w:tblCellMar>
            <w:top w:w="0" w:type="dxa"/>
            <w:left w:w="108" w:type="dxa"/>
            <w:bottom w:w="0" w:type="dxa"/>
            <w:right w:w="108" w:type="dxa"/>
          </w:tblCellMar>
        </w:tblPrEx>
        <w:trPr>
          <w:gridAfter w:val="1"/>
          <w:wAfter w:w="236" w:type="dxa"/>
          <w:trHeight w:val="313" w:hRule="atLeast"/>
        </w:trPr>
        <w:tc>
          <w:tcPr>
            <w:tcW w:w="1125"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服务目标</w:t>
            </w:r>
          </w:p>
        </w:tc>
        <w:tc>
          <w:tcPr>
            <w:tcW w:w="975" w:type="dxa"/>
            <w:vMerge w:val="restart"/>
            <w:tcBorders>
              <w:top w:val="single" w:color="auto" w:sz="4" w:space="0"/>
              <w:left w:val="single" w:color="auto" w:sz="4" w:space="0"/>
              <w:bottom w:val="single" w:color="000000" w:sz="4" w:space="0"/>
              <w:right w:val="single" w:color="auto" w:sz="4" w:space="0"/>
            </w:tcBorders>
            <w:shd w:val="clear" w:color="000000" w:fill="D9D9D9"/>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服务内容</w:t>
            </w:r>
          </w:p>
        </w:tc>
        <w:tc>
          <w:tcPr>
            <w:tcW w:w="1700"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工作分类</w:t>
            </w:r>
          </w:p>
        </w:tc>
        <w:tc>
          <w:tcPr>
            <w:tcW w:w="3183"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工作任务</w:t>
            </w:r>
          </w:p>
        </w:tc>
        <w:tc>
          <w:tcPr>
            <w:tcW w:w="1234"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服务频次</w:t>
            </w:r>
          </w:p>
        </w:tc>
      </w:tr>
      <w:tr>
        <w:tblPrEx>
          <w:tblCellMar>
            <w:top w:w="0" w:type="dxa"/>
            <w:left w:w="108" w:type="dxa"/>
            <w:bottom w:w="0" w:type="dxa"/>
            <w:right w:w="108" w:type="dxa"/>
          </w:tblCellMar>
        </w:tblPrEx>
        <w:trPr>
          <w:trHeight w:val="263" w:hRule="atLeast"/>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31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36" w:type="dxa"/>
            <w:tcBorders>
              <w:top w:val="nil"/>
              <w:left w:val="nil"/>
              <w:bottom w:val="nil"/>
              <w:right w:val="nil"/>
            </w:tcBorders>
            <w:shd w:val="clear" w:color="auto" w:fill="auto"/>
            <w:noWrap/>
            <w:vAlign w:val="bottom"/>
          </w:tcPr>
          <w:p>
            <w:pPr>
              <w:widowControl/>
              <w:jc w:val="center"/>
              <w:rPr>
                <w:rFonts w:hint="eastAsia"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1085" w:hRule="atLeast"/>
        </w:trPr>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深圳市宝建投智能科技有限公司（公司官网、公司微信公众号、二级节点标识业务管理系统平台、宝安区工业互联网公共服务平台）</w:t>
            </w:r>
          </w:p>
        </w:tc>
        <w:tc>
          <w:tcPr>
            <w:tcW w:w="9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信息安全常规检测</w:t>
            </w:r>
          </w:p>
        </w:tc>
        <w:tc>
          <w:tcPr>
            <w:tcW w:w="1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服务器漏洞检测及加固整改</w:t>
            </w:r>
          </w:p>
        </w:tc>
        <w:tc>
          <w:tcPr>
            <w:tcW w:w="3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使用专业的安全检测设备对所有服务器进行安全漏洞扫描，对发现的安全问题协助进行安全修复加固。</w:t>
            </w:r>
          </w:p>
        </w:tc>
        <w:tc>
          <w:tcPr>
            <w:tcW w:w="12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三次/年</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55" w:hRule="atLeast"/>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31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12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236" w:type="dxa"/>
            <w:tcBorders>
              <w:top w:val="nil"/>
              <w:left w:val="nil"/>
              <w:bottom w:val="nil"/>
              <w:right w:val="nil"/>
            </w:tcBorders>
            <w:shd w:val="clear" w:color="auto" w:fill="auto"/>
            <w:noWrap/>
            <w:vAlign w:val="bottom"/>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1274" w:hRule="atLeast"/>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系统应用层安全检测及加固整改</w:t>
            </w:r>
          </w:p>
        </w:tc>
        <w:tc>
          <w:tcPr>
            <w:tcW w:w="31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使用专业的安全检测设备对所有应用系统进行安全漏洞扫描。对发现的安全问题协助进行安全修复加固。</w:t>
            </w:r>
          </w:p>
        </w:tc>
        <w:tc>
          <w:tcPr>
            <w:tcW w:w="12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三次/年</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276" w:hRule="atLeast"/>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信息系统专项渗透测试</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系统渗透</w:t>
            </w:r>
            <w:bookmarkStart w:id="4" w:name="_GoBack"/>
            <w:bookmarkEnd w:id="4"/>
            <w:r>
              <w:rPr>
                <w:rFonts w:hint="eastAsia" w:ascii="宋体" w:hAnsi="宋体" w:eastAsia="宋体" w:cs="宋体"/>
                <w:b/>
                <w:bCs/>
                <w:color w:val="000000"/>
                <w:kern w:val="0"/>
                <w:szCs w:val="21"/>
              </w:rPr>
              <w:t>测试（含信息系统、服务器、中间件及数据库等</w:t>
            </w:r>
          </w:p>
        </w:tc>
        <w:tc>
          <w:tcPr>
            <w:tcW w:w="3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以人工的技术手段通过专业渗透测试设备和工具辅助开展渗透测试工作，以黑客角度手工方式挖掘漏洞，发现系统存在的安全隐患和风险。对发现的安全漏洞和安全隐患点协助进行安全修复加固。并在完成修复工作后进行安全回归测试。（具体测试项目包含但不限于：信息泄露、信息猜解、业务逻辑篡改、业务功能滥用、防护功能缺失失效滥用、权限缺失篡改、综合利用、专项漏洞等）</w:t>
            </w:r>
          </w:p>
        </w:tc>
        <w:tc>
          <w:tcPr>
            <w:tcW w:w="12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三次/年</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16" w:hRule="atLeast"/>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267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系统上线前安全检测（如有）</w:t>
            </w:r>
          </w:p>
        </w:tc>
        <w:tc>
          <w:tcPr>
            <w:tcW w:w="3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对系统开展上线前安全检测（含文件和目录测试；认证测试；权限测试；文件上传下载测试；信息泄漏测试；输入数据测试等）</w:t>
            </w:r>
          </w:p>
        </w:tc>
        <w:tc>
          <w:tcPr>
            <w:tcW w:w="12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两次/年</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82" w:hRule="atLeast"/>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26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31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tc>
        <w:tc>
          <w:tcPr>
            <w:tcW w:w="236" w:type="dxa"/>
            <w:tcBorders>
              <w:top w:val="nil"/>
              <w:left w:val="nil"/>
              <w:bottom w:val="nil"/>
              <w:right w:val="nil"/>
            </w:tcBorders>
            <w:shd w:val="clear" w:color="auto" w:fill="auto"/>
            <w:noWrap/>
            <w:vAlign w:val="bottom"/>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84" w:hRule="atLeast"/>
        </w:trPr>
        <w:tc>
          <w:tcPr>
            <w:tcW w:w="112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Cs w:val="21"/>
              </w:rPr>
            </w:pPr>
          </w:p>
        </w:tc>
        <w:tc>
          <w:tcPr>
            <w:tcW w:w="267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信息安全培训</w:t>
            </w:r>
          </w:p>
        </w:tc>
        <w:tc>
          <w:tcPr>
            <w:tcW w:w="31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安排培训讲师为甲方开展一场信息安全培训。</w:t>
            </w:r>
          </w:p>
        </w:tc>
        <w:tc>
          <w:tcPr>
            <w:tcW w:w="12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一次/年</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613" w:hRule="atLeast"/>
        </w:trPr>
        <w:tc>
          <w:tcPr>
            <w:tcW w:w="112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Cs w:val="21"/>
              </w:rPr>
            </w:pPr>
          </w:p>
        </w:tc>
        <w:tc>
          <w:tcPr>
            <w:tcW w:w="26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信息安全建设和规划咨询</w:t>
            </w:r>
          </w:p>
        </w:tc>
        <w:tc>
          <w:tcPr>
            <w:tcW w:w="3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协助完成《信息安全应急预案》。提供云服务器集群安全产品建议、网络和信息安全建设、规划以及相关工作的开展等专业咨询服务</w:t>
            </w:r>
          </w:p>
        </w:tc>
        <w:tc>
          <w:tcPr>
            <w:tcW w:w="12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按实际情况</w:t>
            </w:r>
          </w:p>
        </w:tc>
        <w:tc>
          <w:tcPr>
            <w:tcW w:w="236" w:type="dxa"/>
            <w:vAlign w:val="center"/>
          </w:tcPr>
          <w:p>
            <w:pPr>
              <w:widowControl/>
              <w:jc w:val="left"/>
              <w:rPr>
                <w:rFonts w:ascii="Times New Roman" w:hAnsi="Times New Roman" w:eastAsia="Times New Roman" w:cs="Times New Roman"/>
                <w:kern w:val="0"/>
                <w:sz w:val="20"/>
                <w:szCs w:val="20"/>
              </w:rPr>
            </w:pPr>
          </w:p>
        </w:tc>
      </w:tr>
    </w:tbl>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15481"/>
    </w:sdtPr>
    <w:sdtContent>
      <w:p>
        <w:pPr>
          <w:pStyle w:val="33"/>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spacing w:after="60"/>
      <w:jc w:val="both"/>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512D1"/>
    <w:multiLevelType w:val="multilevel"/>
    <w:tmpl w:val="079512D1"/>
    <w:lvl w:ilvl="0" w:tentative="0">
      <w:start w:val="1"/>
      <w:numFmt w:val="decimal"/>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MTY5ZGI4ZGUyNTgzOGJjMDU1NGIzMWY0YTAwZDAifQ=="/>
  </w:docVars>
  <w:rsids>
    <w:rsidRoot w:val="004C48F0"/>
    <w:rsid w:val="00000327"/>
    <w:rsid w:val="00013360"/>
    <w:rsid w:val="00017FB5"/>
    <w:rsid w:val="00020B3F"/>
    <w:rsid w:val="00022998"/>
    <w:rsid w:val="00043391"/>
    <w:rsid w:val="000546BD"/>
    <w:rsid w:val="00061D85"/>
    <w:rsid w:val="000B736D"/>
    <w:rsid w:val="000C09D7"/>
    <w:rsid w:val="000E7152"/>
    <w:rsid w:val="000E7E49"/>
    <w:rsid w:val="000F5753"/>
    <w:rsid w:val="00136B57"/>
    <w:rsid w:val="0014702E"/>
    <w:rsid w:val="0014766B"/>
    <w:rsid w:val="00157129"/>
    <w:rsid w:val="00157F2F"/>
    <w:rsid w:val="00170692"/>
    <w:rsid w:val="00170B70"/>
    <w:rsid w:val="00182FEE"/>
    <w:rsid w:val="00187688"/>
    <w:rsid w:val="001A2D0C"/>
    <w:rsid w:val="001A581F"/>
    <w:rsid w:val="001B1355"/>
    <w:rsid w:val="001B4FE8"/>
    <w:rsid w:val="001D05A4"/>
    <w:rsid w:val="001D1F4C"/>
    <w:rsid w:val="001D31DF"/>
    <w:rsid w:val="0021200B"/>
    <w:rsid w:val="00236C81"/>
    <w:rsid w:val="00254E33"/>
    <w:rsid w:val="00266764"/>
    <w:rsid w:val="0026684F"/>
    <w:rsid w:val="002733D4"/>
    <w:rsid w:val="0028440A"/>
    <w:rsid w:val="00287CDF"/>
    <w:rsid w:val="0029438D"/>
    <w:rsid w:val="002A1887"/>
    <w:rsid w:val="002A74CD"/>
    <w:rsid w:val="002C70B0"/>
    <w:rsid w:val="002E5212"/>
    <w:rsid w:val="003235D1"/>
    <w:rsid w:val="00325C5E"/>
    <w:rsid w:val="00342688"/>
    <w:rsid w:val="003522E9"/>
    <w:rsid w:val="0036389E"/>
    <w:rsid w:val="00365CA7"/>
    <w:rsid w:val="00371A56"/>
    <w:rsid w:val="003A66E3"/>
    <w:rsid w:val="003B78DC"/>
    <w:rsid w:val="003D5F08"/>
    <w:rsid w:val="003E0088"/>
    <w:rsid w:val="003F4058"/>
    <w:rsid w:val="004515B2"/>
    <w:rsid w:val="00453840"/>
    <w:rsid w:val="0045397D"/>
    <w:rsid w:val="00453D6E"/>
    <w:rsid w:val="00454768"/>
    <w:rsid w:val="0045730E"/>
    <w:rsid w:val="00461613"/>
    <w:rsid w:val="00466DEE"/>
    <w:rsid w:val="00470B6F"/>
    <w:rsid w:val="00480206"/>
    <w:rsid w:val="004822B2"/>
    <w:rsid w:val="004A096D"/>
    <w:rsid w:val="004A7DD3"/>
    <w:rsid w:val="004C48F0"/>
    <w:rsid w:val="004C697C"/>
    <w:rsid w:val="004D1FCD"/>
    <w:rsid w:val="004E700D"/>
    <w:rsid w:val="00503658"/>
    <w:rsid w:val="005038BE"/>
    <w:rsid w:val="00525477"/>
    <w:rsid w:val="00525A6A"/>
    <w:rsid w:val="005262D1"/>
    <w:rsid w:val="00526D5E"/>
    <w:rsid w:val="00527F70"/>
    <w:rsid w:val="00532185"/>
    <w:rsid w:val="00534EC4"/>
    <w:rsid w:val="00565A25"/>
    <w:rsid w:val="005778E8"/>
    <w:rsid w:val="00582EAA"/>
    <w:rsid w:val="00590D1D"/>
    <w:rsid w:val="005924B4"/>
    <w:rsid w:val="005F71A3"/>
    <w:rsid w:val="006159AB"/>
    <w:rsid w:val="00616831"/>
    <w:rsid w:val="006347FB"/>
    <w:rsid w:val="00645351"/>
    <w:rsid w:val="00654F2D"/>
    <w:rsid w:val="00674174"/>
    <w:rsid w:val="006B5A48"/>
    <w:rsid w:val="006B606A"/>
    <w:rsid w:val="006E549C"/>
    <w:rsid w:val="006F31C1"/>
    <w:rsid w:val="007010FE"/>
    <w:rsid w:val="00706F79"/>
    <w:rsid w:val="00711503"/>
    <w:rsid w:val="0073122D"/>
    <w:rsid w:val="00766271"/>
    <w:rsid w:val="007773CB"/>
    <w:rsid w:val="00792FA6"/>
    <w:rsid w:val="007A334D"/>
    <w:rsid w:val="007A3C0E"/>
    <w:rsid w:val="007B02B9"/>
    <w:rsid w:val="007D495A"/>
    <w:rsid w:val="007F217C"/>
    <w:rsid w:val="008159E1"/>
    <w:rsid w:val="00833420"/>
    <w:rsid w:val="00842D59"/>
    <w:rsid w:val="008A2150"/>
    <w:rsid w:val="008C7AD1"/>
    <w:rsid w:val="008D0EE3"/>
    <w:rsid w:val="008D19F5"/>
    <w:rsid w:val="008D29FC"/>
    <w:rsid w:val="00901089"/>
    <w:rsid w:val="00922A7E"/>
    <w:rsid w:val="00924F26"/>
    <w:rsid w:val="009337D2"/>
    <w:rsid w:val="009810A5"/>
    <w:rsid w:val="00982057"/>
    <w:rsid w:val="009866BB"/>
    <w:rsid w:val="00992D50"/>
    <w:rsid w:val="009D06EF"/>
    <w:rsid w:val="009E0FDC"/>
    <w:rsid w:val="009F4A71"/>
    <w:rsid w:val="009F5B3B"/>
    <w:rsid w:val="00A025DD"/>
    <w:rsid w:val="00A037AE"/>
    <w:rsid w:val="00A168DE"/>
    <w:rsid w:val="00A219E1"/>
    <w:rsid w:val="00A25B27"/>
    <w:rsid w:val="00A30CEE"/>
    <w:rsid w:val="00A30E33"/>
    <w:rsid w:val="00A442FA"/>
    <w:rsid w:val="00A44F6A"/>
    <w:rsid w:val="00A54F08"/>
    <w:rsid w:val="00A73FA8"/>
    <w:rsid w:val="00A74BFA"/>
    <w:rsid w:val="00A839A0"/>
    <w:rsid w:val="00A97371"/>
    <w:rsid w:val="00AB49A6"/>
    <w:rsid w:val="00AC0BDE"/>
    <w:rsid w:val="00AC2DE9"/>
    <w:rsid w:val="00AF4514"/>
    <w:rsid w:val="00B07D28"/>
    <w:rsid w:val="00B12033"/>
    <w:rsid w:val="00B17596"/>
    <w:rsid w:val="00B656BD"/>
    <w:rsid w:val="00B82968"/>
    <w:rsid w:val="00B85020"/>
    <w:rsid w:val="00B8766D"/>
    <w:rsid w:val="00B966F7"/>
    <w:rsid w:val="00BB03EE"/>
    <w:rsid w:val="00BB1AD8"/>
    <w:rsid w:val="00BF4597"/>
    <w:rsid w:val="00C21206"/>
    <w:rsid w:val="00C2459C"/>
    <w:rsid w:val="00C3766F"/>
    <w:rsid w:val="00C40958"/>
    <w:rsid w:val="00C44D18"/>
    <w:rsid w:val="00C45ACC"/>
    <w:rsid w:val="00C753ED"/>
    <w:rsid w:val="00C934CD"/>
    <w:rsid w:val="00CA095A"/>
    <w:rsid w:val="00CA30A9"/>
    <w:rsid w:val="00CA6079"/>
    <w:rsid w:val="00CD2852"/>
    <w:rsid w:val="00D01505"/>
    <w:rsid w:val="00D17A2E"/>
    <w:rsid w:val="00D2699A"/>
    <w:rsid w:val="00D41E86"/>
    <w:rsid w:val="00D474E2"/>
    <w:rsid w:val="00D65491"/>
    <w:rsid w:val="00D71C16"/>
    <w:rsid w:val="00D71DC7"/>
    <w:rsid w:val="00D73245"/>
    <w:rsid w:val="00D95910"/>
    <w:rsid w:val="00DA1C3E"/>
    <w:rsid w:val="00DC18B3"/>
    <w:rsid w:val="00DC218A"/>
    <w:rsid w:val="00DD0923"/>
    <w:rsid w:val="00DD1CEA"/>
    <w:rsid w:val="00DD7716"/>
    <w:rsid w:val="00DF0069"/>
    <w:rsid w:val="00E5764F"/>
    <w:rsid w:val="00E9202A"/>
    <w:rsid w:val="00E92C1F"/>
    <w:rsid w:val="00EA7A68"/>
    <w:rsid w:val="00EB66B8"/>
    <w:rsid w:val="00EE05C8"/>
    <w:rsid w:val="00EE1CE2"/>
    <w:rsid w:val="00EE7DB6"/>
    <w:rsid w:val="00EF1276"/>
    <w:rsid w:val="00F23C10"/>
    <w:rsid w:val="00F35510"/>
    <w:rsid w:val="00F65253"/>
    <w:rsid w:val="00F7318A"/>
    <w:rsid w:val="00F85C4F"/>
    <w:rsid w:val="00F97CB7"/>
    <w:rsid w:val="00FD44F8"/>
    <w:rsid w:val="00FF3479"/>
    <w:rsid w:val="0402368A"/>
    <w:rsid w:val="0BC24B3F"/>
    <w:rsid w:val="0C7465D8"/>
    <w:rsid w:val="1344492F"/>
    <w:rsid w:val="1EBA10A2"/>
    <w:rsid w:val="22C7695D"/>
    <w:rsid w:val="26CB1498"/>
    <w:rsid w:val="2C8E2E26"/>
    <w:rsid w:val="37814822"/>
    <w:rsid w:val="44E177BB"/>
    <w:rsid w:val="49CE370E"/>
    <w:rsid w:val="4DAA574E"/>
    <w:rsid w:val="5DED2068"/>
    <w:rsid w:val="61581CEA"/>
    <w:rsid w:val="71D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7"/>
    <w:unhideWhenUsed/>
    <w:qFormat/>
    <w:uiPriority w:val="9"/>
    <w:pPr>
      <w:autoSpaceDE w:val="0"/>
      <w:autoSpaceDN w:val="0"/>
      <w:spacing w:before="20"/>
      <w:ind w:left="1578" w:hanging="602"/>
      <w:jc w:val="left"/>
      <w:outlineLvl w:val="3"/>
    </w:pPr>
    <w:rPr>
      <w:rFonts w:ascii="宋体" w:hAnsi="宋体" w:eastAsia="宋体" w:cs="宋体"/>
      <w:kern w:val="0"/>
      <w:sz w:val="24"/>
      <w:szCs w:val="24"/>
      <w:lang w:val="zh-CN" w:bidi="zh-CN"/>
    </w:rPr>
  </w:style>
  <w:style w:type="paragraph" w:styleId="7">
    <w:name w:val="heading 5"/>
    <w:basedOn w:val="1"/>
    <w:next w:val="1"/>
    <w:link w:val="38"/>
    <w:unhideWhenUsed/>
    <w:qFormat/>
    <w:uiPriority w:val="9"/>
    <w:pPr>
      <w:autoSpaceDE w:val="0"/>
      <w:autoSpaceDN w:val="0"/>
      <w:ind w:left="920"/>
      <w:jc w:val="left"/>
      <w:outlineLvl w:val="4"/>
    </w:pPr>
    <w:rPr>
      <w:rFonts w:ascii="宋体" w:hAnsi="宋体" w:eastAsia="宋体" w:cs="宋体"/>
      <w:b/>
      <w:bCs/>
      <w:kern w:val="0"/>
      <w:szCs w:val="21"/>
      <w:lang w:val="zh-CN" w:bidi="zh-CN"/>
    </w:rPr>
  </w:style>
  <w:style w:type="paragraph" w:styleId="8">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9">
    <w:name w:val="Body Text"/>
    <w:basedOn w:val="1"/>
    <w:link w:val="35"/>
    <w:unhideWhenUsed/>
    <w:qFormat/>
    <w:uiPriority w:val="1"/>
    <w:pPr>
      <w:spacing w:after="120"/>
    </w:pPr>
  </w:style>
  <w:style w:type="paragraph" w:styleId="10">
    <w:name w:val="Body Text Indent"/>
    <w:basedOn w:val="1"/>
    <w:semiHidden/>
    <w:unhideWhenUsed/>
    <w:qFormat/>
    <w:uiPriority w:val="99"/>
    <w:pPr>
      <w:spacing w:after="120"/>
      <w:ind w:left="420" w:leftChars="200"/>
    </w:p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Balloon Text"/>
    <w:basedOn w:val="1"/>
    <w:link w:val="31"/>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rPr>
  </w:style>
  <w:style w:type="paragraph" w:styleId="14">
    <w:name w:val="header"/>
    <w:basedOn w:val="1"/>
    <w:link w:val="2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pPr>
      <w:widowControl/>
      <w:spacing w:after="100" w:line="259" w:lineRule="auto"/>
      <w:jc w:val="left"/>
    </w:pPr>
    <w:rPr>
      <w:rFonts w:cs="Times New Roman"/>
      <w:kern w:val="0"/>
      <w:sz w:val="22"/>
    </w:rPr>
  </w:style>
  <w:style w:type="paragraph" w:styleId="16">
    <w:name w:val="toc 4"/>
    <w:basedOn w:val="1"/>
    <w:next w:val="1"/>
    <w:qFormat/>
    <w:uiPriority w:val="1"/>
    <w:pPr>
      <w:autoSpaceDE w:val="0"/>
      <w:autoSpaceDN w:val="0"/>
      <w:spacing w:before="199"/>
      <w:ind w:left="1923" w:hanging="604"/>
      <w:jc w:val="left"/>
    </w:pPr>
    <w:rPr>
      <w:rFonts w:ascii="宋体" w:hAnsi="宋体" w:eastAsia="宋体" w:cs="宋体"/>
      <w:b/>
      <w:bCs/>
      <w:i/>
      <w:kern w:val="0"/>
      <w:sz w:val="22"/>
      <w:lang w:val="zh-CN" w:bidi="zh-CN"/>
    </w:rPr>
  </w:style>
  <w:style w:type="paragraph" w:styleId="17">
    <w:name w:val="toc 2"/>
    <w:basedOn w:val="1"/>
    <w:next w:val="1"/>
    <w:unhideWhenUsed/>
    <w:qFormat/>
    <w:uiPriority w:val="39"/>
    <w:pPr>
      <w:widowControl/>
      <w:spacing w:after="100" w:line="259" w:lineRule="auto"/>
      <w:ind w:left="220"/>
      <w:jc w:val="left"/>
    </w:pPr>
    <w:rPr>
      <w:rFonts w:cs="Times New Roman"/>
      <w:kern w:val="0"/>
      <w:sz w:val="22"/>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2"/>
    <w:basedOn w:val="10"/>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标题 1 字符"/>
    <w:basedOn w:val="22"/>
    <w:link w:val="3"/>
    <w:qFormat/>
    <w:uiPriority w:val="9"/>
    <w:rPr>
      <w:b/>
      <w:bCs/>
      <w:kern w:val="44"/>
      <w:sz w:val="44"/>
      <w:szCs w:val="44"/>
    </w:rPr>
  </w:style>
  <w:style w:type="character" w:customStyle="1" w:styleId="25">
    <w:name w:val="标题 2 字符"/>
    <w:basedOn w:val="22"/>
    <w:link w:val="4"/>
    <w:qFormat/>
    <w:uiPriority w:val="9"/>
    <w:rPr>
      <w:rFonts w:asciiTheme="majorHAnsi" w:hAnsiTheme="majorHAnsi" w:eastAsiaTheme="majorEastAsia" w:cstheme="majorBidi"/>
      <w:b/>
      <w:bCs/>
      <w:sz w:val="32"/>
      <w:szCs w:val="32"/>
    </w:rPr>
  </w:style>
  <w:style w:type="paragraph" w:styleId="26">
    <w:name w:val="List Paragraph"/>
    <w:basedOn w:val="1"/>
    <w:link w:val="34"/>
    <w:qFormat/>
    <w:uiPriority w:val="1"/>
    <w:pPr>
      <w:ind w:firstLine="420" w:firstLineChars="200"/>
    </w:pPr>
  </w:style>
  <w:style w:type="paragraph" w:customStyle="1" w:styleId="2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8">
    <w:name w:val="页眉 字符"/>
    <w:basedOn w:val="22"/>
    <w:link w:val="14"/>
    <w:qFormat/>
    <w:uiPriority w:val="99"/>
    <w:rPr>
      <w:kern w:val="2"/>
      <w:sz w:val="18"/>
      <w:szCs w:val="22"/>
    </w:rPr>
  </w:style>
  <w:style w:type="character" w:customStyle="1" w:styleId="29">
    <w:name w:val="页脚 字符"/>
    <w:basedOn w:val="22"/>
    <w:link w:val="13"/>
    <w:qFormat/>
    <w:uiPriority w:val="99"/>
    <w:rPr>
      <w:kern w:val="2"/>
      <w:sz w:val="18"/>
      <w:szCs w:val="22"/>
    </w:rPr>
  </w:style>
  <w:style w:type="paragraph" w:customStyle="1" w:styleId="30">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1">
    <w:name w:val="批注框文本 字符"/>
    <w:basedOn w:val="22"/>
    <w:link w:val="12"/>
    <w:semiHidden/>
    <w:qFormat/>
    <w:uiPriority w:val="99"/>
    <w:rPr>
      <w:kern w:val="2"/>
      <w:sz w:val="18"/>
      <w:szCs w:val="18"/>
    </w:rPr>
  </w:style>
  <w:style w:type="paragraph" w:customStyle="1" w:styleId="32">
    <w:name w:val="页眉1"/>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33">
    <w:name w:val="页脚1"/>
    <w:basedOn w:val="1"/>
    <w:unhideWhenUsed/>
    <w:qFormat/>
    <w:uiPriority w:val="99"/>
    <w:pPr>
      <w:tabs>
        <w:tab w:val="center" w:pos="4153"/>
        <w:tab w:val="right" w:pos="8306"/>
      </w:tabs>
      <w:snapToGrid w:val="0"/>
      <w:jc w:val="left"/>
    </w:pPr>
    <w:rPr>
      <w:sz w:val="18"/>
      <w:szCs w:val="18"/>
    </w:rPr>
  </w:style>
  <w:style w:type="character" w:customStyle="1" w:styleId="34">
    <w:name w:val="列表段落 字符"/>
    <w:link w:val="26"/>
    <w:qFormat/>
    <w:uiPriority w:val="34"/>
    <w:rPr>
      <w:rFonts w:asciiTheme="minorHAnsi" w:hAnsiTheme="minorHAnsi" w:eastAsiaTheme="minorEastAsia" w:cstheme="minorBidi"/>
      <w:kern w:val="2"/>
      <w:sz w:val="21"/>
      <w:szCs w:val="22"/>
    </w:rPr>
  </w:style>
  <w:style w:type="character" w:customStyle="1" w:styleId="35">
    <w:name w:val="正文文本 字符"/>
    <w:basedOn w:val="22"/>
    <w:link w:val="9"/>
    <w:semiHidden/>
    <w:qFormat/>
    <w:uiPriority w:val="99"/>
    <w:rPr>
      <w:rFonts w:asciiTheme="minorHAnsi" w:hAnsiTheme="minorHAnsi" w:eastAsiaTheme="minorEastAsia" w:cstheme="minorBidi"/>
      <w:kern w:val="2"/>
      <w:sz w:val="21"/>
      <w:szCs w:val="22"/>
    </w:rPr>
  </w:style>
  <w:style w:type="character" w:customStyle="1" w:styleId="36">
    <w:name w:val="标题 3 字符"/>
    <w:basedOn w:val="22"/>
    <w:link w:val="5"/>
    <w:semiHidden/>
    <w:qFormat/>
    <w:uiPriority w:val="9"/>
    <w:rPr>
      <w:rFonts w:asciiTheme="minorHAnsi" w:hAnsiTheme="minorHAnsi" w:eastAsiaTheme="minorEastAsia" w:cstheme="minorBidi"/>
      <w:b/>
      <w:bCs/>
      <w:kern w:val="2"/>
      <w:sz w:val="32"/>
      <w:szCs w:val="32"/>
    </w:rPr>
  </w:style>
  <w:style w:type="character" w:customStyle="1" w:styleId="37">
    <w:name w:val="标题 4 字符"/>
    <w:basedOn w:val="22"/>
    <w:link w:val="6"/>
    <w:qFormat/>
    <w:uiPriority w:val="9"/>
    <w:rPr>
      <w:rFonts w:ascii="宋体" w:hAnsi="宋体" w:cs="宋体"/>
      <w:sz w:val="24"/>
      <w:szCs w:val="24"/>
      <w:lang w:val="zh-CN" w:bidi="zh-CN"/>
    </w:rPr>
  </w:style>
  <w:style w:type="character" w:customStyle="1" w:styleId="38">
    <w:name w:val="标题 5 字符"/>
    <w:basedOn w:val="22"/>
    <w:link w:val="7"/>
    <w:qFormat/>
    <w:uiPriority w:val="9"/>
    <w:rPr>
      <w:rFonts w:ascii="宋体" w:hAnsi="宋体" w:cs="宋体"/>
      <w:b/>
      <w:bCs/>
      <w:sz w:val="21"/>
      <w:szCs w:val="21"/>
      <w:lang w:val="zh-CN" w:bidi="zh-CN"/>
    </w:rPr>
  </w:style>
  <w:style w:type="table" w:customStyle="1" w:styleId="3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0">
    <w:name w:val="Table Paragraph"/>
    <w:basedOn w:val="1"/>
    <w:qFormat/>
    <w:uiPriority w:val="1"/>
    <w:pPr>
      <w:autoSpaceDE w:val="0"/>
      <w:autoSpaceDN w:val="0"/>
      <w:spacing w:before="1"/>
      <w:jc w:val="left"/>
    </w:pPr>
    <w:rPr>
      <w:rFonts w:ascii="宋体" w:hAnsi="宋体" w:eastAsia="宋体" w:cs="宋体"/>
      <w:kern w:val="0"/>
      <w:sz w:val="22"/>
      <w:lang w:val="zh-CN" w:bidi="zh-CN"/>
    </w:rPr>
  </w:style>
  <w:style w:type="paragraph" w:customStyle="1" w:styleId="41">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2">
    <w:name w:val="列表段落1"/>
    <w:basedOn w:val="1"/>
    <w:qFormat/>
    <w:uiPriority w:val="0"/>
    <w:pPr>
      <w:widowControl/>
      <w:ind w:firstLine="420" w:firstLineChars="200"/>
      <w:jc w:val="left"/>
    </w:pPr>
    <w:rPr>
      <w:rFonts w:ascii="Times New Roman" w:hAnsi="Times New Roman" w:eastAsia="宋体" w:cs="Times New Roman"/>
      <w:szCs w:val="21"/>
    </w:rPr>
  </w:style>
  <w:style w:type="paragraph" w:customStyle="1" w:styleId="43">
    <w:name w:val="列表段落2"/>
    <w:basedOn w:val="1"/>
    <w:qFormat/>
    <w:uiPriority w:val="0"/>
    <w:pPr>
      <w:widowControl/>
      <w:ind w:firstLine="420" w:firstLineChars="200"/>
      <w:jc w:val="left"/>
    </w:pPr>
    <w:rPr>
      <w:rFonts w:ascii="Times New Roman" w:hAnsi="Times New Roman" w:eastAsia="宋体" w:cs="Times New Roman"/>
      <w:szCs w:val="21"/>
    </w:rPr>
  </w:style>
  <w:style w:type="paragraph" w:customStyle="1" w:styleId="4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font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6">
    <w:name w:val="font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47">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48">
    <w:name w:val="font3"/>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9">
    <w:name w:val="font4"/>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0">
    <w:name w:val="font5"/>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1">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2">
    <w:name w:val="et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et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4">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5">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56">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57">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8">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9">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0">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1">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2">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3">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5">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6">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7">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9">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4DB78-AA63-485F-920A-FFA3AE667C6B}">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843</Words>
  <Characters>843</Characters>
  <Lines>6</Lines>
  <Paragraphs>1</Paragraphs>
  <TotalTime>136</TotalTime>
  <ScaleCrop>false</ScaleCrop>
  <LinksUpToDate>false</LinksUpToDate>
  <CharactersWithSpaces>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2022-11-04T03:02:00Z</dcterms:created>
  <dc:creator>郑 小强</dc:creator>
  <cp:lastModifiedBy>Leung</cp:lastModifiedBy>
  <cp:lastPrinted>2022-07-14T01:33:00Z</cp:lastPrinted>
  <dcterms:modified xsi:type="dcterms:W3CDTF">2023-06-28T06:47:00Z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8B56E1FBC71441BAA41E5C79530EED37</vt:lpwstr>
  </property>
</Properties>
</file>