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深圳市宝建投智能科技有限公司</w:t>
      </w:r>
    </w:p>
    <w:p>
      <w:pPr>
        <w:tabs>
          <w:tab w:val="left" w:pos="1521"/>
        </w:tabs>
        <w:spacing w:before="156" w:beforeLines="50" w:after="156" w:afterLines="50" w:line="56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项目需求清单</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为响应中共深圳市宝安区委网信办要求，需</w:t>
      </w:r>
      <w:r>
        <w:rPr>
          <w:rFonts w:hint="eastAsia" w:ascii="仿宋_GB2312" w:eastAsia="仿宋_GB2312" w:cs="仿宋_GB2312"/>
          <w:color w:val="000000"/>
          <w:sz w:val="28"/>
          <w:szCs w:val="28"/>
          <w:shd w:val="clear" w:color="auto" w:fill="FFFFFF"/>
        </w:rPr>
        <w:t>对我司二级节点标识业务管理系统平台和宝安区工业互联网公共服务平台</w:t>
      </w:r>
      <w:r>
        <w:rPr>
          <w:rFonts w:hint="eastAsia" w:ascii="仿宋" w:hAnsi="仿宋" w:eastAsia="仿宋"/>
          <w:color w:val="000000" w:themeColor="text1"/>
          <w:sz w:val="28"/>
          <w:szCs w:val="28"/>
          <w14:textFill>
            <w14:solidFill>
              <w14:schemeClr w14:val="tx1"/>
            </w14:solidFill>
          </w14:textFill>
        </w:rPr>
        <w:t>采购相关</w:t>
      </w:r>
      <w:r>
        <w:rPr>
          <w:rFonts w:hint="eastAsia" w:ascii="仿宋_GB2312" w:eastAsia="仿宋_GB2312" w:cs="仿宋_GB2312"/>
          <w:color w:val="000000"/>
          <w:sz w:val="28"/>
          <w:szCs w:val="28"/>
          <w:shd w:val="clear" w:color="auto" w:fill="FFFFFF"/>
        </w:rPr>
        <w:t>二级等保测评</w:t>
      </w:r>
      <w:r>
        <w:rPr>
          <w:rFonts w:hint="eastAsia" w:ascii="仿宋" w:hAnsi="仿宋" w:eastAsia="仿宋"/>
          <w:color w:val="000000" w:themeColor="text1"/>
          <w:sz w:val="28"/>
          <w:szCs w:val="28"/>
          <w14:textFill>
            <w14:solidFill>
              <w14:schemeClr w14:val="tx1"/>
            </w14:solidFill>
          </w14:textFill>
        </w:rPr>
        <w:t>并保障系统安全。具体要求如下：</w:t>
      </w:r>
    </w:p>
    <w:p>
      <w:pPr>
        <w:pStyle w:val="2"/>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一、服务范围</w:t>
      </w:r>
    </w:p>
    <w:p>
      <w:pPr>
        <w:pStyle w:val="4"/>
        <w:ind w:firstLine="56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28"/>
          <w:szCs w:val="28"/>
        </w:rPr>
        <w:t>包括</w:t>
      </w:r>
      <w:r>
        <w:rPr>
          <w:rFonts w:hint="eastAsia" w:ascii="仿宋_GB2312" w:eastAsia="仿宋_GB2312" w:cs="仿宋_GB2312"/>
          <w:color w:val="000000"/>
          <w:sz w:val="28"/>
          <w:szCs w:val="28"/>
          <w:shd w:val="clear" w:color="auto" w:fill="FFFFFF"/>
        </w:rPr>
        <w:t>二级节点标识业务管理系统平台和宝安区工业互联网公共服务平台</w:t>
      </w:r>
      <w:r>
        <w:rPr>
          <w:rFonts w:hint="eastAsia" w:ascii="仿宋" w:hAnsi="仿宋" w:eastAsia="仿宋"/>
          <w:color w:val="000000" w:themeColor="text1"/>
          <w:sz w:val="32"/>
          <w:szCs w:val="32"/>
          <w14:textFill>
            <w14:solidFill>
              <w14:schemeClr w14:val="tx1"/>
            </w14:solidFill>
          </w14:textFill>
        </w:rPr>
        <w:t>。</w:t>
      </w:r>
    </w:p>
    <w:p>
      <w:pPr>
        <w:pStyle w:val="4"/>
        <w:ind w:firstLine="560" w:firstLineChars="200"/>
        <w:rPr>
          <w:rFonts w:hint="eastAsia" w:ascii="仿宋" w:hAnsi="仿宋" w:eastAsia="仿宋"/>
          <w:sz w:val="28"/>
          <w:szCs w:val="28"/>
        </w:rPr>
      </w:pPr>
      <w:r>
        <w:rPr>
          <w:rFonts w:hint="eastAsia" w:ascii="仿宋_GB2312" w:eastAsia="仿宋_GB2312" w:cs="仿宋_GB2312"/>
          <w:color w:val="000000"/>
          <w:sz w:val="28"/>
          <w:szCs w:val="28"/>
          <w:shd w:val="clear" w:color="auto" w:fill="FFFFFF"/>
        </w:rPr>
        <w:t>对我司已建设的二级节点标识业务管理系统平台和宝安区工业互联网公共服务平台开展二级等保测评工作，进一步健全完善网络安全防护机制，并出具二级等保测评服务证明</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br w:type="page"/>
      </w:r>
    </w:p>
    <w:p/>
    <w:p>
      <w:pPr>
        <w:pStyle w:val="2"/>
        <w:numPr>
          <w:ilvl w:val="0"/>
          <w:numId w:val="2"/>
        </w:numPr>
        <w:ind w:firstLine="643" w:firstLineChars="200"/>
        <w:rPr>
          <w:rFonts w:hint="eastAsia"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项目内容</w:t>
      </w:r>
    </w:p>
    <w:tbl>
      <w:tblPr>
        <w:tblStyle w:val="7"/>
        <w:tblW w:w="0" w:type="auto"/>
        <w:tblInd w:w="0" w:type="dxa"/>
        <w:tblLayout w:type="fixed"/>
        <w:tblCellMar>
          <w:top w:w="0" w:type="dxa"/>
          <w:left w:w="108" w:type="dxa"/>
          <w:bottom w:w="0" w:type="dxa"/>
          <w:right w:w="108" w:type="dxa"/>
        </w:tblCellMar>
      </w:tblPr>
      <w:tblGrid>
        <w:gridCol w:w="1316"/>
        <w:gridCol w:w="1537"/>
        <w:gridCol w:w="1099"/>
        <w:gridCol w:w="2466"/>
        <w:gridCol w:w="2104"/>
      </w:tblGrid>
      <w:tr>
        <w:tblPrEx>
          <w:tblCellMar>
            <w:top w:w="0" w:type="dxa"/>
            <w:left w:w="108" w:type="dxa"/>
            <w:bottom w:w="0" w:type="dxa"/>
            <w:right w:w="108" w:type="dxa"/>
          </w:tblCellMar>
        </w:tblPrEx>
        <w:trPr>
          <w:trHeight w:val="215" w:hRule="atLeast"/>
        </w:trPr>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部署要求</w:t>
            </w:r>
          </w:p>
        </w:tc>
        <w:tc>
          <w:tcPr>
            <w:tcW w:w="1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服务数量</w:t>
            </w:r>
          </w:p>
        </w:tc>
        <w:tc>
          <w:tcPr>
            <w:tcW w:w="24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Arial" w:hAnsi="Arial" w:cs="Arial"/>
                <w:b/>
                <w:bCs/>
                <w:color w:val="333333"/>
                <w:kern w:val="0"/>
                <w:sz w:val="22"/>
                <w:szCs w:val="22"/>
              </w:rPr>
            </w:pPr>
            <w:r>
              <w:rPr>
                <w:rFonts w:ascii="Arial" w:hAnsi="Arial" w:cs="Arial"/>
                <w:b/>
                <w:bCs/>
                <w:color w:val="333333"/>
                <w:kern w:val="0"/>
                <w:sz w:val="22"/>
                <w:szCs w:val="22"/>
              </w:rPr>
              <w:t>产品</w:t>
            </w:r>
            <w:r>
              <w:rPr>
                <w:rFonts w:hint="eastAsia" w:ascii="Arial" w:hAnsi="Arial" w:cs="Arial"/>
                <w:b/>
                <w:bCs/>
                <w:color w:val="333333"/>
                <w:kern w:val="0"/>
                <w:sz w:val="22"/>
                <w:szCs w:val="22"/>
              </w:rPr>
              <w:t>描述</w:t>
            </w:r>
          </w:p>
        </w:tc>
        <w:tc>
          <w:tcPr>
            <w:tcW w:w="21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Arial" w:hAnsi="Arial" w:cs="Arial"/>
                <w:b/>
                <w:bCs/>
                <w:color w:val="333333"/>
                <w:kern w:val="0"/>
                <w:sz w:val="22"/>
                <w:szCs w:val="22"/>
              </w:rPr>
            </w:pPr>
            <w:r>
              <w:rPr>
                <w:rFonts w:ascii="Arial" w:hAnsi="Arial" w:cs="Arial"/>
                <w:b/>
                <w:bCs/>
                <w:color w:val="333333"/>
                <w:kern w:val="0"/>
                <w:sz w:val="22"/>
                <w:szCs w:val="22"/>
              </w:rPr>
              <w:t>产品功能</w:t>
            </w:r>
          </w:p>
        </w:tc>
      </w:tr>
      <w:tr>
        <w:tblPrEx>
          <w:tblCellMar>
            <w:top w:w="0" w:type="dxa"/>
            <w:left w:w="108" w:type="dxa"/>
            <w:bottom w:w="0" w:type="dxa"/>
            <w:right w:w="108" w:type="dxa"/>
          </w:tblCellMar>
        </w:tblPrEx>
        <w:trPr>
          <w:trHeight w:val="1156" w:hRule="atLeast"/>
        </w:trPr>
        <w:tc>
          <w:tcPr>
            <w:tcW w:w="131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二级等保测评服务</w:t>
            </w:r>
          </w:p>
        </w:tc>
        <w:tc>
          <w:tcPr>
            <w:tcW w:w="15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Arial" w:hAnsi="Arial" w:cs="Arial"/>
                <w:color w:val="333333"/>
                <w:kern w:val="0"/>
                <w:sz w:val="22"/>
                <w:szCs w:val="22"/>
              </w:rPr>
            </w:pPr>
            <w:r>
              <w:rPr>
                <w:rFonts w:ascii="Arial" w:hAnsi="Arial" w:cs="Arial"/>
                <w:color w:val="333333"/>
                <w:kern w:val="0"/>
                <w:sz w:val="22"/>
                <w:szCs w:val="22"/>
              </w:rPr>
              <w:t> 云等保测评是根据国家网络安全等级保护制度，为客户提供信息系统的网络安全等级保护测评服务，协助客户所属信息系统实现等保合规要求，完善网络安全保障体系建设的安全测评服务。</w:t>
            </w:r>
          </w:p>
        </w:tc>
        <w:tc>
          <w:tcPr>
            <w:tcW w:w="10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466" w:type="dxa"/>
            <w:tcBorders>
              <w:top w:val="nil"/>
              <w:left w:val="nil"/>
              <w:bottom w:val="single" w:color="auto" w:sz="4" w:space="0"/>
              <w:right w:val="single" w:color="auto" w:sz="4" w:space="0"/>
            </w:tcBorders>
            <w:shd w:val="clear" w:color="auto" w:fill="auto"/>
            <w:vAlign w:val="center"/>
          </w:tcPr>
          <w:p>
            <w:pPr>
              <w:widowControl/>
              <w:jc w:val="left"/>
              <w:rPr>
                <w:rFonts w:hint="eastAsia" w:ascii="Arial" w:hAnsi="Arial" w:cs="Arial"/>
                <w:color w:val="333333"/>
                <w:kern w:val="0"/>
                <w:sz w:val="22"/>
                <w:szCs w:val="22"/>
              </w:rPr>
            </w:pPr>
            <w:r>
              <w:rPr>
                <w:rFonts w:ascii="Arial" w:hAnsi="Arial" w:cs="Arial"/>
                <w:color w:val="333333"/>
                <w:kern w:val="0"/>
                <w:sz w:val="22"/>
                <w:szCs w:val="22"/>
              </w:rPr>
              <w:t>二级系统具有抵御小规模、较弱强度恶意攻击的能力，抵抗一般自然灾害的能力，以及防范一般性计算机病毒和恶意代码危害的能力；具有检测常见的攻击行为，并对安全事件进行记录的能力；系统遭到损害后，具有恢复系统正常运行状态的能力；</w:t>
            </w:r>
          </w:p>
        </w:tc>
        <w:tc>
          <w:tcPr>
            <w:tcW w:w="210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333333"/>
                <w:kern w:val="0"/>
                <w:sz w:val="22"/>
                <w:szCs w:val="22"/>
              </w:rPr>
            </w:pPr>
            <w:r>
              <w:rPr>
                <w:rFonts w:ascii="Arial" w:hAnsi="Arial" w:cs="Arial"/>
                <w:color w:val="333333"/>
                <w:kern w:val="0"/>
                <w:sz w:val="22"/>
                <w:szCs w:val="22"/>
              </w:rPr>
              <w:t>本服务将主要根据《信息安全技术 网络安全等级保护基本要求》、《信息安全技术 网络安全等级保护测评要求》、《信息安全技术 网络安全等级保护安全设计技术要求》等标准，对信息系统进行单元测评和整体测评。</w:t>
            </w:r>
          </w:p>
        </w:tc>
      </w:tr>
      <w:tr>
        <w:tblPrEx>
          <w:tblCellMar>
            <w:top w:w="0" w:type="dxa"/>
            <w:left w:w="108" w:type="dxa"/>
            <w:bottom w:w="0" w:type="dxa"/>
            <w:right w:w="108" w:type="dxa"/>
          </w:tblCellMar>
        </w:tblPrEx>
        <w:trPr>
          <w:trHeight w:val="2313" w:hRule="atLeast"/>
        </w:trPr>
        <w:tc>
          <w:tcPr>
            <w:tcW w:w="13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537" w:type="dxa"/>
            <w:vMerge w:val="continue"/>
            <w:tcBorders>
              <w:top w:val="nil"/>
              <w:left w:val="single" w:color="auto" w:sz="4" w:space="0"/>
              <w:bottom w:val="single" w:color="000000" w:sz="4" w:space="0"/>
              <w:right w:val="single" w:color="auto" w:sz="4" w:space="0"/>
            </w:tcBorders>
            <w:vAlign w:val="center"/>
          </w:tcPr>
          <w:p>
            <w:pPr>
              <w:widowControl/>
              <w:jc w:val="left"/>
              <w:rPr>
                <w:rFonts w:ascii="Arial" w:hAnsi="Arial" w:cs="Arial"/>
                <w:color w:val="333333"/>
                <w:kern w:val="0"/>
                <w:sz w:val="22"/>
                <w:szCs w:val="22"/>
              </w:rPr>
            </w:pPr>
          </w:p>
        </w:tc>
        <w:tc>
          <w:tcPr>
            <w:tcW w:w="10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66" w:type="dxa"/>
            <w:tcBorders>
              <w:top w:val="nil"/>
              <w:left w:val="nil"/>
              <w:bottom w:val="single" w:color="auto" w:sz="4" w:space="0"/>
              <w:right w:val="single" w:color="auto" w:sz="4" w:space="0"/>
            </w:tcBorders>
            <w:shd w:val="clear" w:color="auto" w:fill="auto"/>
            <w:vAlign w:val="center"/>
          </w:tcPr>
          <w:p>
            <w:pPr>
              <w:widowControl/>
              <w:jc w:val="left"/>
              <w:rPr>
                <w:rFonts w:hint="eastAsia" w:ascii="Arial" w:hAnsi="Arial" w:cs="Arial"/>
                <w:color w:val="333333"/>
                <w:kern w:val="0"/>
                <w:sz w:val="22"/>
                <w:szCs w:val="22"/>
              </w:rPr>
            </w:pPr>
            <w:r>
              <w:rPr>
                <w:rFonts w:ascii="Arial" w:hAnsi="Arial" w:cs="Arial"/>
                <w:color w:val="333333"/>
                <w:kern w:val="0"/>
                <w:sz w:val="22"/>
                <w:szCs w:val="22"/>
              </w:rPr>
              <w:t> </w:t>
            </w:r>
            <w:r>
              <w:rPr>
                <w:rFonts w:hint="eastAsia" w:ascii="Arial" w:hAnsi="Arial" w:cs="Arial"/>
                <w:color w:val="333333"/>
                <w:kern w:val="0"/>
                <w:sz w:val="22"/>
                <w:szCs w:val="22"/>
                <w:lang w:val="en-US" w:eastAsia="zh-CN"/>
              </w:rPr>
              <w:t>二</w:t>
            </w:r>
            <w:r>
              <w:rPr>
                <w:rFonts w:ascii="Arial" w:hAnsi="Arial" w:cs="Arial"/>
                <w:color w:val="333333"/>
                <w:kern w:val="0"/>
                <w:sz w:val="22"/>
                <w:szCs w:val="22"/>
              </w:rPr>
              <w:t>级系统满足在统一的安全防护策略下具有抵御大规模、较强恶意攻击的能力，抵抗较为严重的自然灾害的能力，以及防范计算机病毒和恶意代码危害的能力；具有检测、发现、报警及记录入侵行为的能力；具有对安全事件进行响应处置，并能够追踪安全责任的能力；在系统遭受损害后，具有能够较快恢复正常运行状态的能力；对于服务保障性要求高的系统，应能快速恢复正常运行状态；具有对系统资源、用户、安全机制等进行集中管控的能力。</w:t>
            </w:r>
          </w:p>
        </w:tc>
        <w:tc>
          <w:tcPr>
            <w:tcW w:w="2104" w:type="dxa"/>
            <w:tcBorders>
              <w:top w:val="nil"/>
              <w:left w:val="nil"/>
              <w:bottom w:val="single" w:color="auto" w:sz="4" w:space="0"/>
              <w:right w:val="single" w:color="auto" w:sz="4" w:space="0"/>
            </w:tcBorders>
            <w:shd w:val="clear" w:color="auto" w:fill="auto"/>
            <w:vAlign w:val="center"/>
          </w:tcPr>
          <w:p>
            <w:pPr>
              <w:widowControl/>
              <w:jc w:val="left"/>
              <w:rPr>
                <w:rFonts w:ascii="Arial" w:hAnsi="Arial" w:cs="Arial"/>
                <w:color w:val="333333"/>
                <w:kern w:val="0"/>
                <w:sz w:val="22"/>
                <w:szCs w:val="22"/>
              </w:rPr>
            </w:pPr>
            <w:r>
              <w:rPr>
                <w:rFonts w:ascii="Arial" w:hAnsi="Arial" w:cs="Arial"/>
                <w:color w:val="333333"/>
                <w:kern w:val="0"/>
                <w:sz w:val="22"/>
                <w:szCs w:val="22"/>
              </w:rPr>
              <w:t>      通过单元测评，找出各个单元包含的各个单项的安全问题，并对各个单项的检查结果进行分析，确认各个单项的安全风险等级；</w:t>
            </w:r>
          </w:p>
          <w:p>
            <w:pPr>
              <w:pStyle w:val="2"/>
            </w:pPr>
            <w:r>
              <w:rPr>
                <w:rFonts w:ascii="Arial" w:hAnsi="Arial" w:cs="Arial"/>
                <w:color w:val="333333"/>
                <w:kern w:val="0"/>
                <w:sz w:val="22"/>
                <w:szCs w:val="22"/>
              </w:rPr>
              <w:t>    通过整体测评，分析各层面内安全控制点之间是否存在功能的増强、削弱等关系，分析层面间是否存在功能的増强、削弱等关系，然后进行风险分析，最后得出结论，确认该信息系统的安全防护措施是否符合等级保护对应等级的基本要求。最终形成信息系统安全等级保护测评报告。</w:t>
            </w:r>
          </w:p>
        </w:tc>
      </w:tr>
    </w:tbl>
    <w:p>
      <w:pPr>
        <w:pStyle w:val="2"/>
        <w:numPr>
          <w:numId w:val="0"/>
        </w:numPr>
        <w:rPr>
          <w:rFonts w:hint="eastAsia" w:ascii="仿宋" w:hAnsi="仿宋" w:eastAsia="仿宋" w:cs="Times New Roman"/>
          <w:b/>
          <w:bCs/>
          <w:color w:val="000000" w:themeColor="text1"/>
          <w:sz w:val="32"/>
          <w:szCs w:val="32"/>
          <w14:textFill>
            <w14:solidFill>
              <w14:schemeClr w14:val="tx1"/>
            </w14:solidFill>
          </w14:textFill>
        </w:rPr>
      </w:pP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5D91E"/>
    <w:multiLevelType w:val="singleLevel"/>
    <w:tmpl w:val="0875D91E"/>
    <w:lvl w:ilvl="0" w:tentative="0">
      <w:start w:val="2"/>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DY2ZGNkOThlZjI1OWNmZDcyZDg2ZTA0ODkzOTUifQ=="/>
  </w:docVars>
  <w:rsids>
    <w:rsidRoot w:val="00E038EF"/>
    <w:rsid w:val="000632E2"/>
    <w:rsid w:val="0009063B"/>
    <w:rsid w:val="000D181E"/>
    <w:rsid w:val="00105AD0"/>
    <w:rsid w:val="00112426"/>
    <w:rsid w:val="0023283C"/>
    <w:rsid w:val="00281865"/>
    <w:rsid w:val="003A3EA7"/>
    <w:rsid w:val="003F65FA"/>
    <w:rsid w:val="004E1F97"/>
    <w:rsid w:val="004E4389"/>
    <w:rsid w:val="00511B66"/>
    <w:rsid w:val="00527F4C"/>
    <w:rsid w:val="005C4715"/>
    <w:rsid w:val="005F55E2"/>
    <w:rsid w:val="006C2258"/>
    <w:rsid w:val="007C63B0"/>
    <w:rsid w:val="008D3994"/>
    <w:rsid w:val="008F26B9"/>
    <w:rsid w:val="009B35F6"/>
    <w:rsid w:val="009E7DC3"/>
    <w:rsid w:val="00A63250"/>
    <w:rsid w:val="00A64C57"/>
    <w:rsid w:val="00A91AD2"/>
    <w:rsid w:val="00B6728B"/>
    <w:rsid w:val="00BB36FA"/>
    <w:rsid w:val="00BE6E0E"/>
    <w:rsid w:val="00D076F3"/>
    <w:rsid w:val="00DC50E9"/>
    <w:rsid w:val="00E038EF"/>
    <w:rsid w:val="00E86943"/>
    <w:rsid w:val="00FE3042"/>
    <w:rsid w:val="01097EBC"/>
    <w:rsid w:val="0EE62CD0"/>
    <w:rsid w:val="13145D33"/>
    <w:rsid w:val="151643DF"/>
    <w:rsid w:val="1DCB6118"/>
    <w:rsid w:val="1F8E6353"/>
    <w:rsid w:val="28AB694C"/>
    <w:rsid w:val="2A585CB7"/>
    <w:rsid w:val="34A252E0"/>
    <w:rsid w:val="39681787"/>
    <w:rsid w:val="3CD106DB"/>
    <w:rsid w:val="41D51A22"/>
    <w:rsid w:val="421F0200"/>
    <w:rsid w:val="48ED1CE0"/>
    <w:rsid w:val="526145AB"/>
    <w:rsid w:val="527E45E2"/>
    <w:rsid w:val="52FC4D3E"/>
    <w:rsid w:val="61546E2A"/>
    <w:rsid w:val="61645C98"/>
    <w:rsid w:val="645A30BE"/>
    <w:rsid w:val="665E5A04"/>
    <w:rsid w:val="678B21FE"/>
    <w:rsid w:val="68692332"/>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widowControl/>
      <w:numPr>
        <w:ilvl w:val="0"/>
        <w:numId w:val="1"/>
      </w:numPr>
      <w:jc w:val="center"/>
      <w:outlineLvl w:val="0"/>
    </w:pPr>
    <w:rPr>
      <w:rFonts w:ascii="黑体" w:eastAsia="黑体"/>
      <w:kern w:val="0"/>
      <w:sz w:val="52"/>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cs="Courier New"/>
      <w:szCs w:val="21"/>
    </w:rPr>
  </w:style>
  <w:style w:type="paragraph" w:styleId="4">
    <w:name w:val="Body Text"/>
    <w:basedOn w:val="1"/>
    <w:next w:val="1"/>
    <w:link w:val="11"/>
    <w:qFormat/>
    <w:uiPriority w:val="0"/>
    <w:pPr>
      <w:tabs>
        <w:tab w:val="left" w:pos="1500"/>
      </w:tabs>
      <w:spacing w:line="360" w:lineRule="auto"/>
    </w:pPr>
    <w:rPr>
      <w:rFonts w:ascii="宋体" w:hAnsi="宋体"/>
      <w:sz w:val="24"/>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4"/>
    <w:qFormat/>
    <w:uiPriority w:val="0"/>
    <w:rPr>
      <w:rFonts w:ascii="宋体" w:hAnsi="宋体" w:eastAsia="宋体" w:cs="Times New Roman"/>
      <w:sz w:val="24"/>
      <w:szCs w:val="24"/>
    </w:rPr>
  </w:style>
  <w:style w:type="paragraph" w:styleId="12">
    <w:name w:val="List Paragraph"/>
    <w:basedOn w:val="1"/>
    <w:qFormat/>
    <w:uiPriority w:val="34"/>
    <w:pPr>
      <w:ind w:left="720"/>
      <w:contextualSpacing/>
    </w:pPr>
  </w:style>
  <w:style w:type="character" w:customStyle="1" w:styleId="13">
    <w:name w:val="纯文本 字符"/>
    <w:basedOn w:val="8"/>
    <w:link w:val="2"/>
    <w:semiHidden/>
    <w:qFormat/>
    <w:uiPriority w:val="99"/>
    <w:rPr>
      <w:rFonts w:ascii="宋体" w:hAnsi="Courier New" w:eastAsia="宋体" w:cs="Courier New"/>
      <w:szCs w:val="21"/>
    </w:rPr>
  </w:style>
  <w:style w:type="character" w:customStyle="1" w:styleId="14">
    <w:name w:val="标题 1 字符"/>
    <w:basedOn w:val="8"/>
    <w:link w:val="3"/>
    <w:qFormat/>
    <w:uiPriority w:val="0"/>
    <w:rPr>
      <w:rFonts w:ascii="黑体" w:hAnsi="Calibri" w:eastAsia="黑体" w:cs="Times New Roman"/>
      <w:kern w:val="0"/>
      <w:sz w:val="52"/>
      <w:szCs w:val="20"/>
    </w:rPr>
  </w:style>
  <w:style w:type="paragraph" w:customStyle="1" w:styleId="1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1</Pages>
  <Words>34</Words>
  <Characters>194</Characters>
  <Lines>1</Lines>
  <Paragraphs>1</Paragraphs>
  <TotalTime>1</TotalTime>
  <ScaleCrop>false</ScaleCrop>
  <LinksUpToDate>false</LinksUpToDate>
  <CharactersWithSpaces>227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Sarah</cp:lastModifiedBy>
  <cp:lastPrinted>2023-03-02T03:28:00Z</cp:lastPrinted>
  <dcterms:modified xsi:type="dcterms:W3CDTF">2023-08-04T09:36:27Z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0320CADBDDEA44CCA3E76674FC3AF2BB</vt:lpwstr>
  </property>
</Properties>
</file>